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1340"/>
        </w:tabs>
        <w:kinsoku/>
        <w:wordWrap/>
        <w:overflowPunct/>
        <w:topLinePunct w:val="0"/>
        <w:bidi w:val="0"/>
        <w:spacing w:line="520" w:lineRule="exact"/>
        <w:textAlignment w:val="auto"/>
        <w:rPr>
          <w:rFonts w:hint="eastAsia" w:ascii="Times New Roman" w:hAnsi="Times New Roman" w:eastAsia="仿宋_GB2312" w:cs="仿宋_GB2312"/>
          <w:b w:val="0"/>
          <w:bCs w:val="0"/>
          <w:color w:val="auto"/>
          <w:spacing w:val="3"/>
          <w:sz w:val="32"/>
          <w:szCs w:val="32"/>
          <w:highlight w:val="none"/>
        </w:rPr>
      </w:pPr>
    </w:p>
    <w:p>
      <w:pPr>
        <w:pStyle w:val="2"/>
        <w:rPr>
          <w:rFonts w:hint="eastAsia"/>
        </w:rPr>
      </w:pP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color w:val="auto"/>
          <w:w w:val="100"/>
          <w:kern w:val="0"/>
          <w:sz w:val="44"/>
          <w:szCs w:val="44"/>
          <w:highlight w:val="none"/>
          <w:lang w:val="en-US" w:eastAsia="zh-CN"/>
        </w:rPr>
      </w:pPr>
      <w:r>
        <w:rPr>
          <w:rFonts w:hint="eastAsia" w:ascii="方正小标宋_GBK" w:hAnsi="方正小标宋_GBK" w:eastAsia="方正小标宋_GBK" w:cs="方正小标宋_GBK"/>
          <w:b w:val="0"/>
          <w:bCs w:val="0"/>
          <w:color w:val="auto"/>
          <w:w w:val="100"/>
          <w:kern w:val="0"/>
          <w:sz w:val="44"/>
          <w:szCs w:val="44"/>
          <w:highlight w:val="none"/>
          <w:lang w:val="en-US" w:eastAsia="zh-CN"/>
        </w:rPr>
        <w:t>惠州仲恺高新区国有建设用地使用权</w:t>
      </w: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color w:val="auto"/>
          <w:w w:val="100"/>
          <w:kern w:val="0"/>
          <w:sz w:val="44"/>
          <w:szCs w:val="44"/>
          <w:highlight w:val="none"/>
          <w:lang w:val="en-US" w:eastAsia="zh-CN"/>
        </w:rPr>
      </w:pPr>
      <w:r>
        <w:rPr>
          <w:rFonts w:hint="eastAsia" w:ascii="方正小标宋_GBK" w:hAnsi="方正小标宋_GBK" w:eastAsia="方正小标宋_GBK" w:cs="方正小标宋_GBK"/>
          <w:b w:val="0"/>
          <w:bCs w:val="0"/>
          <w:color w:val="auto"/>
          <w:w w:val="100"/>
          <w:kern w:val="0"/>
          <w:sz w:val="44"/>
          <w:szCs w:val="44"/>
          <w:highlight w:val="none"/>
          <w:lang w:val="en-US" w:eastAsia="zh-CN"/>
        </w:rPr>
        <w:t>网上挂牌出</w:t>
      </w:r>
      <w:bookmarkStart w:id="3" w:name="_GoBack"/>
      <w:bookmarkEnd w:id="3"/>
      <w:r>
        <w:rPr>
          <w:rFonts w:hint="eastAsia" w:ascii="方正小标宋_GBK" w:hAnsi="方正小标宋_GBK" w:eastAsia="方正小标宋_GBK" w:cs="方正小标宋_GBK"/>
          <w:b w:val="0"/>
          <w:bCs w:val="0"/>
          <w:color w:val="auto"/>
          <w:w w:val="100"/>
          <w:kern w:val="0"/>
          <w:sz w:val="44"/>
          <w:szCs w:val="44"/>
          <w:highlight w:val="none"/>
          <w:lang w:val="en-US" w:eastAsia="zh-CN"/>
        </w:rPr>
        <w:t>让公告</w:t>
      </w:r>
    </w:p>
    <w:p>
      <w:pPr>
        <w:keepNext w:val="0"/>
        <w:keepLines w:val="0"/>
        <w:pageBreakBefore w:val="0"/>
        <w:tabs>
          <w:tab w:val="left" w:pos="11340"/>
        </w:tabs>
        <w:kinsoku/>
        <w:wordWrap/>
        <w:overflowPunct/>
        <w:topLinePunct w:val="0"/>
        <w:bidi w:val="0"/>
        <w:spacing w:line="520" w:lineRule="exact"/>
        <w:ind w:left="4018" w:hanging="2880" w:hangingChars="900"/>
        <w:jc w:val="center"/>
        <w:textAlignment w:val="auto"/>
        <w:rPr>
          <w:rFonts w:hint="eastAsia" w:ascii="Times New Roman" w:hAnsi="Times New Roman" w:eastAsia="仿宋_GB2312" w:cs="仿宋_GB2312"/>
          <w:b w:val="0"/>
          <w:bCs w:val="0"/>
          <w:color w:val="FF0000"/>
          <w:sz w:val="32"/>
          <w:szCs w:val="32"/>
          <w:highlight w:val="none"/>
        </w:rPr>
      </w:pPr>
      <w:r>
        <w:rPr>
          <w:rFonts w:hint="eastAsia" w:ascii="仿宋_GB2312" w:hAnsi="仿宋_GB2312" w:eastAsia="仿宋_GB2312" w:cs="仿宋_GB2312"/>
          <w:b w:val="0"/>
          <w:bCs w:val="0"/>
          <w:color w:val="auto"/>
          <w:sz w:val="32"/>
          <w:szCs w:val="32"/>
          <w:highlight w:val="none"/>
        </w:rPr>
        <w:t>惠</w:t>
      </w:r>
      <w:r>
        <w:rPr>
          <w:rFonts w:hint="eastAsia" w:ascii="仿宋_GB2312" w:hAnsi="仿宋_GB2312" w:eastAsia="仿宋_GB2312" w:cs="仿宋_GB2312"/>
          <w:b w:val="0"/>
          <w:bCs w:val="0"/>
          <w:color w:val="auto"/>
          <w:sz w:val="32"/>
          <w:szCs w:val="32"/>
          <w:highlight w:val="none"/>
          <w:lang w:val="en-US" w:eastAsia="zh-CN"/>
        </w:rPr>
        <w:t>仲土挂告</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2022</w:t>
      </w:r>
      <w:r>
        <w:rPr>
          <w:rFonts w:hint="eastAsia" w:ascii="仿宋_GB2312" w:hAnsi="仿宋_GB2312" w:eastAsia="仿宋_GB2312" w:cs="仿宋_GB2312"/>
          <w:b w:val="0"/>
          <w:bCs w:val="0"/>
          <w:color w:val="auto"/>
          <w:sz w:val="32"/>
          <w:szCs w:val="32"/>
          <w:highlight w:val="none"/>
        </w:rPr>
        <w:t>]0</w:t>
      </w:r>
      <w:r>
        <w:rPr>
          <w:rFonts w:hint="eastAsia" w:ascii="仿宋_GB2312" w:hAnsi="仿宋_GB2312" w:eastAsia="仿宋_GB2312" w:cs="仿宋_GB2312"/>
          <w:b w:val="0"/>
          <w:bCs w:val="0"/>
          <w:color w:val="auto"/>
          <w:sz w:val="32"/>
          <w:szCs w:val="32"/>
          <w:highlight w:val="none"/>
          <w:lang w:val="en-US" w:eastAsia="zh-CN"/>
        </w:rPr>
        <w:t>18</w:t>
      </w:r>
      <w:r>
        <w:rPr>
          <w:rFonts w:hint="eastAsia" w:ascii="仿宋_GB2312" w:hAnsi="仿宋_GB2312" w:eastAsia="仿宋_GB2312" w:cs="仿宋_GB2312"/>
          <w:b w:val="0"/>
          <w:bCs w:val="0"/>
          <w:color w:val="auto"/>
          <w:sz w:val="32"/>
          <w:szCs w:val="32"/>
          <w:highlight w:val="none"/>
        </w:rPr>
        <w:t>号</w:t>
      </w:r>
    </w:p>
    <w:p>
      <w:pPr>
        <w:keepNext w:val="0"/>
        <w:keepLines w:val="0"/>
        <w:pageBreakBefore w:val="0"/>
        <w:kinsoku/>
        <w:wordWrap/>
        <w:overflowPunct/>
        <w:topLinePunct w:val="0"/>
        <w:bidi w:val="0"/>
        <w:spacing w:line="52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根据《招标拍卖挂牌出让国有建设用地使用权规定》</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国土资源部令第39号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和《广东省土地使用权交易市场管理规定》</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广东省人民政府令第79号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的规定，经批准，</w:t>
      </w:r>
      <w:r>
        <w:rPr>
          <w:rFonts w:hint="eastAsia" w:ascii="仿宋_GB2312" w:hAnsi="仿宋_GB2312" w:eastAsia="仿宋_GB2312" w:cs="仿宋_GB2312"/>
          <w:b w:val="0"/>
          <w:bCs w:val="0"/>
          <w:color w:val="auto"/>
          <w:sz w:val="32"/>
          <w:szCs w:val="32"/>
          <w:highlight w:val="none"/>
          <w:lang w:eastAsia="zh-CN"/>
        </w:rPr>
        <w:t>我</w:t>
      </w:r>
      <w:r>
        <w:rPr>
          <w:rFonts w:hint="eastAsia" w:ascii="仿宋_GB2312" w:hAnsi="仿宋_GB2312" w:eastAsia="仿宋_GB2312" w:cs="仿宋_GB2312"/>
          <w:b w:val="0"/>
          <w:bCs w:val="0"/>
          <w:color w:val="auto"/>
          <w:sz w:val="32"/>
          <w:szCs w:val="32"/>
          <w:highlight w:val="none"/>
        </w:rPr>
        <w:t>局决定以网上挂牌方式公开出让下列一宗国有建设用地使用权。现将有关事项公告如下：</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rPr>
        <w:t>网上挂牌出让地块基本情况及规划指标要求（见附表）</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rPr>
        <w:t>挂牌起始价及</w:t>
      </w:r>
      <w:r>
        <w:rPr>
          <w:rFonts w:hint="eastAsia" w:ascii="仿宋_GB2312" w:hAnsi="仿宋_GB2312" w:eastAsia="仿宋_GB2312" w:cs="仿宋_GB2312"/>
          <w:b w:val="0"/>
          <w:bCs w:val="0"/>
          <w:color w:val="auto"/>
          <w:sz w:val="32"/>
          <w:szCs w:val="32"/>
          <w:highlight w:val="none"/>
          <w:lang w:val="en-US" w:eastAsia="zh-CN"/>
        </w:rPr>
        <w:t>增</w:t>
      </w:r>
      <w:r>
        <w:rPr>
          <w:rFonts w:hint="eastAsia" w:ascii="仿宋_GB2312" w:hAnsi="仿宋_GB2312" w:eastAsia="仿宋_GB2312" w:cs="仿宋_GB2312"/>
          <w:b w:val="0"/>
          <w:bCs w:val="0"/>
          <w:color w:val="auto"/>
          <w:sz w:val="32"/>
          <w:szCs w:val="32"/>
          <w:highlight w:val="none"/>
        </w:rPr>
        <w:t>价幅度</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挂牌起始价为人民币</w:t>
      </w:r>
      <w:r>
        <w:rPr>
          <w:rFonts w:hint="eastAsia" w:ascii="仿宋_GB2312" w:hAnsi="仿宋_GB2312" w:eastAsia="仿宋_GB2312" w:cs="仿宋_GB2312"/>
          <w:b w:val="0"/>
          <w:bCs w:val="0"/>
          <w:color w:val="auto"/>
          <w:sz w:val="32"/>
          <w:szCs w:val="32"/>
          <w:highlight w:val="none"/>
          <w:lang w:val="en-US" w:eastAsia="zh-CN"/>
        </w:rPr>
        <w:t>16389</w:t>
      </w:r>
      <w:r>
        <w:rPr>
          <w:rFonts w:hint="eastAsia" w:ascii="仿宋_GB2312" w:hAnsi="仿宋_GB2312" w:eastAsia="仿宋_GB2312" w:cs="仿宋_GB2312"/>
          <w:b w:val="0"/>
          <w:bCs w:val="0"/>
          <w:color w:val="auto"/>
          <w:sz w:val="32"/>
          <w:szCs w:val="32"/>
          <w:highlight w:val="none"/>
        </w:rPr>
        <w:t>万元,每次报价</w:t>
      </w:r>
      <w:r>
        <w:rPr>
          <w:rFonts w:hint="eastAsia" w:ascii="仿宋_GB2312" w:hAnsi="仿宋_GB2312" w:eastAsia="仿宋_GB2312" w:cs="仿宋_GB2312"/>
          <w:b w:val="0"/>
          <w:bCs w:val="0"/>
          <w:color w:val="auto"/>
          <w:sz w:val="32"/>
          <w:szCs w:val="32"/>
          <w:highlight w:val="none"/>
          <w:lang w:val="en-US" w:eastAsia="zh-CN"/>
        </w:rPr>
        <w:t>增</w:t>
      </w:r>
      <w:r>
        <w:rPr>
          <w:rFonts w:hint="eastAsia" w:ascii="仿宋_GB2312" w:hAnsi="仿宋_GB2312" w:eastAsia="仿宋_GB2312" w:cs="仿宋_GB2312"/>
          <w:b w:val="0"/>
          <w:bCs w:val="0"/>
          <w:color w:val="auto"/>
          <w:sz w:val="32"/>
          <w:szCs w:val="32"/>
          <w:highlight w:val="none"/>
        </w:rPr>
        <w:t>价幅度为人民币</w:t>
      </w:r>
      <w:r>
        <w:rPr>
          <w:rFonts w:hint="eastAsia" w:ascii="仿宋_GB2312" w:hAnsi="仿宋_GB2312" w:eastAsia="仿宋_GB2312" w:cs="仿宋_GB2312"/>
          <w:b w:val="0"/>
          <w:bCs w:val="0"/>
          <w:color w:val="auto"/>
          <w:sz w:val="32"/>
          <w:szCs w:val="32"/>
          <w:highlight w:val="none"/>
          <w:lang w:val="en-US" w:eastAsia="zh-CN"/>
        </w:rPr>
        <w:t>100</w:t>
      </w:r>
      <w:r>
        <w:rPr>
          <w:rFonts w:hint="eastAsia" w:ascii="仿宋_GB2312" w:hAnsi="仿宋_GB2312" w:eastAsia="仿宋_GB2312" w:cs="仿宋_GB2312"/>
          <w:b w:val="0"/>
          <w:bCs w:val="0"/>
          <w:color w:val="auto"/>
          <w:sz w:val="32"/>
          <w:szCs w:val="32"/>
          <w:highlight w:val="none"/>
        </w:rPr>
        <w:t>万元的整数倍。</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三、时间安排</w:t>
      </w:r>
    </w:p>
    <w:p>
      <w:pPr>
        <w:pStyle w:val="5"/>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（一）公告时间：</w:t>
      </w:r>
      <w:r>
        <w:rPr>
          <w:rFonts w:hint="eastAsia" w:ascii="仿宋_GB2312" w:hAnsi="仿宋_GB2312" w:eastAsia="仿宋_GB2312" w:cs="仿宋_GB2312"/>
          <w:b w:val="0"/>
          <w:bCs w:val="0"/>
          <w:color w:val="auto"/>
          <w:sz w:val="32"/>
          <w:szCs w:val="32"/>
          <w:highlight w:val="none"/>
          <w:lang w:val="en-US" w:eastAsia="zh-CN"/>
        </w:rPr>
        <w:t>2022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11</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17</w:t>
      </w:r>
      <w:r>
        <w:rPr>
          <w:rFonts w:hint="eastAsia" w:ascii="仿宋_GB2312" w:hAnsi="仿宋_GB2312" w:eastAsia="仿宋_GB2312" w:cs="仿宋_GB2312"/>
          <w:b w:val="0"/>
          <w:bCs w:val="0"/>
          <w:color w:val="auto"/>
          <w:sz w:val="32"/>
          <w:szCs w:val="32"/>
          <w:highlight w:val="none"/>
        </w:rPr>
        <w:t>日至</w:t>
      </w:r>
      <w:r>
        <w:rPr>
          <w:rFonts w:hint="eastAsia" w:ascii="仿宋_GB2312" w:hAnsi="仿宋_GB2312" w:eastAsia="仿宋_GB2312" w:cs="仿宋_GB2312"/>
          <w:b w:val="0"/>
          <w:bCs w:val="0"/>
          <w:color w:val="auto"/>
          <w:sz w:val="32"/>
          <w:szCs w:val="32"/>
          <w:highlight w:val="none"/>
          <w:lang w:val="en-US" w:eastAsia="zh-CN"/>
        </w:rPr>
        <w:t>2022年12月7日</w:t>
      </w:r>
      <w:r>
        <w:rPr>
          <w:rFonts w:hint="eastAsia" w:ascii="仿宋_GB2312" w:hAnsi="仿宋_GB2312" w:eastAsia="仿宋_GB2312" w:cs="仿宋_GB2312"/>
          <w:b w:val="0"/>
          <w:bCs w:val="0"/>
          <w:color w:val="auto"/>
          <w:sz w:val="32"/>
          <w:szCs w:val="32"/>
          <w:highlight w:val="none"/>
          <w:lang w:eastAsia="zh-CN"/>
        </w:rPr>
        <w:t>。</w:t>
      </w:r>
    </w:p>
    <w:p>
      <w:pPr>
        <w:pStyle w:val="5"/>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（二）网上挂牌竞买时间：</w:t>
      </w:r>
      <w:r>
        <w:rPr>
          <w:rFonts w:hint="eastAsia" w:ascii="仿宋_GB2312" w:hAnsi="仿宋_GB2312" w:eastAsia="仿宋_GB2312" w:cs="仿宋_GB2312"/>
          <w:b w:val="0"/>
          <w:bCs w:val="0"/>
          <w:color w:val="auto"/>
          <w:sz w:val="32"/>
          <w:szCs w:val="32"/>
          <w:highlight w:val="none"/>
          <w:lang w:val="en-US" w:eastAsia="zh-CN"/>
        </w:rPr>
        <w:t>2022年12月7日9</w:t>
      </w:r>
      <w:r>
        <w:rPr>
          <w:rFonts w:hint="eastAsia" w:ascii="仿宋_GB2312" w:hAnsi="仿宋_GB2312" w:eastAsia="仿宋_GB2312" w:cs="仿宋_GB2312"/>
          <w:b w:val="0"/>
          <w:bCs w:val="0"/>
          <w:color w:val="auto"/>
          <w:sz w:val="32"/>
          <w:szCs w:val="32"/>
          <w:highlight w:val="none"/>
        </w:rPr>
        <w:t>时至2022 年</w:t>
      </w:r>
      <w:r>
        <w:rPr>
          <w:rFonts w:hint="eastAsia" w:ascii="仿宋_GB2312" w:hAnsi="仿宋_GB2312" w:eastAsia="仿宋_GB2312" w:cs="仿宋_GB2312"/>
          <w:b w:val="0"/>
          <w:bCs w:val="0"/>
          <w:color w:val="auto"/>
          <w:sz w:val="32"/>
          <w:szCs w:val="32"/>
          <w:highlight w:val="none"/>
          <w:lang w:val="en-US" w:eastAsia="zh-CN"/>
        </w:rPr>
        <w:t>12</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21</w:t>
      </w:r>
      <w:r>
        <w:rPr>
          <w:rFonts w:hint="eastAsia" w:ascii="仿宋_GB2312" w:hAnsi="仿宋_GB2312" w:eastAsia="仿宋_GB2312" w:cs="仿宋_GB2312"/>
          <w:b w:val="0"/>
          <w:bCs w:val="0"/>
          <w:color w:val="auto"/>
          <w:sz w:val="32"/>
          <w:szCs w:val="32"/>
          <w:highlight w:val="none"/>
        </w:rPr>
        <w:t>日10时。</w:t>
      </w:r>
    </w:p>
    <w:p>
      <w:pPr>
        <w:keepNext w:val="0"/>
        <w:keepLines w:val="0"/>
        <w:pageBreakBefore w:val="0"/>
        <w:numPr>
          <w:ilvl w:val="0"/>
          <w:numId w:val="0"/>
        </w:numPr>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rPr>
        <w:t>竞买保证金到账截止时间为：</w:t>
      </w:r>
      <w:r>
        <w:rPr>
          <w:rFonts w:hint="eastAsia" w:ascii="仿宋_GB2312" w:hAnsi="仿宋_GB2312" w:eastAsia="仿宋_GB2312" w:cs="仿宋_GB2312"/>
          <w:b w:val="0"/>
          <w:bCs w:val="0"/>
          <w:color w:val="auto"/>
          <w:sz w:val="32"/>
          <w:szCs w:val="32"/>
          <w:highlight w:val="none"/>
          <w:lang w:val="en-US" w:eastAsia="zh-CN"/>
        </w:rPr>
        <w:t>2022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12</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21</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时。</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四、竞买资格及要求</w:t>
      </w:r>
    </w:p>
    <w:p>
      <w:pPr>
        <w:pStyle w:val="9"/>
        <w:keepNext w:val="0"/>
        <w:keepLines w:val="0"/>
        <w:pageBreakBefore w:val="0"/>
        <w:widowControl/>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中华人民共和国境内外的法人、自然人和其他组织（除法律法规另有规定外）具备本条规定条件的，均可申请参加竞买。申请人可以单独申请，也可以联合申请，竞买申请人必须同时具备下列条件：</w:t>
      </w:r>
    </w:p>
    <w:p>
      <w:pPr>
        <w:pStyle w:val="9"/>
        <w:keepNext w:val="0"/>
        <w:keepLines w:val="0"/>
        <w:pageBreakBefore w:val="0"/>
        <w:widowControl/>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（一）缴交竞买保证金</w:t>
      </w:r>
      <w:r>
        <w:rPr>
          <w:rFonts w:hint="eastAsia" w:ascii="仿宋_GB2312" w:hAnsi="仿宋_GB2312" w:eastAsia="仿宋_GB2312" w:cs="仿宋_GB2312"/>
          <w:b w:val="0"/>
          <w:bCs w:val="0"/>
          <w:color w:val="auto"/>
          <w:sz w:val="32"/>
          <w:szCs w:val="32"/>
          <w:highlight w:val="none"/>
          <w:lang w:val="en-US" w:eastAsia="zh-CN"/>
        </w:rPr>
        <w:t>8194</w:t>
      </w:r>
      <w:r>
        <w:rPr>
          <w:rFonts w:hint="eastAsia" w:ascii="仿宋_GB2312" w:hAnsi="仿宋_GB2312" w:eastAsia="仿宋_GB2312" w:cs="仿宋_GB2312"/>
          <w:b w:val="0"/>
          <w:bCs w:val="0"/>
          <w:color w:val="auto"/>
          <w:sz w:val="32"/>
          <w:szCs w:val="32"/>
          <w:highlight w:val="none"/>
          <w:lang w:eastAsia="zh-CN"/>
        </w:rPr>
        <w:t>万元人民币；</w:t>
      </w:r>
    </w:p>
    <w:p>
      <w:pPr>
        <w:pStyle w:val="9"/>
        <w:keepNext w:val="0"/>
        <w:keepLines w:val="0"/>
        <w:pageBreakBefore w:val="0"/>
        <w:widowControl/>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bookmarkStart w:id="0" w:name="bookmark11"/>
      <w:r>
        <w:rPr>
          <w:rFonts w:hint="eastAsia" w:ascii="仿宋_GB2312" w:hAnsi="仿宋_GB2312" w:eastAsia="仿宋_GB2312" w:cs="仿宋_GB2312"/>
          <w:color w:val="000000"/>
          <w:spacing w:val="0"/>
          <w:w w:val="100"/>
          <w:position w:val="0"/>
          <w:sz w:val="32"/>
          <w:szCs w:val="32"/>
          <w:highlight w:val="none"/>
        </w:rPr>
        <w:t>（</w:t>
      </w:r>
      <w:bookmarkEnd w:id="0"/>
      <w:r>
        <w:rPr>
          <w:rFonts w:hint="eastAsia" w:ascii="仿宋_GB2312" w:hAnsi="仿宋_GB2312" w:eastAsia="仿宋_GB2312" w:cs="仿宋_GB2312"/>
          <w:color w:val="000000"/>
          <w:spacing w:val="0"/>
          <w:w w:val="100"/>
          <w:position w:val="0"/>
          <w:sz w:val="32"/>
          <w:szCs w:val="32"/>
          <w:highlight w:val="none"/>
        </w:rPr>
        <w:t>二）拖欠地价款、闲置土地、囤地炒地</w:t>
      </w:r>
      <w:r>
        <w:rPr>
          <w:rFonts w:hint="eastAsia" w:ascii="仿宋_GB2312" w:hAnsi="仿宋_GB2312" w:eastAsia="仿宋_GB2312" w:cs="仿宋_GB2312"/>
          <w:color w:val="000000"/>
          <w:spacing w:val="0"/>
          <w:w w:val="100"/>
          <w:position w:val="0"/>
          <w:sz w:val="32"/>
          <w:szCs w:val="32"/>
          <w:highlight w:val="none"/>
          <w:lang w:eastAsia="zh-CN"/>
        </w:rPr>
        <w:t>、</w:t>
      </w:r>
      <w:r>
        <w:rPr>
          <w:rFonts w:hint="eastAsia" w:ascii="仿宋_GB2312" w:hAnsi="仿宋_GB2312" w:eastAsia="仿宋_GB2312" w:cs="仿宋_GB2312"/>
          <w:color w:val="000000"/>
          <w:spacing w:val="0"/>
          <w:w w:val="100"/>
          <w:position w:val="0"/>
          <w:sz w:val="32"/>
          <w:szCs w:val="32"/>
          <w:highlight w:val="none"/>
          <w:lang w:val="en-US" w:eastAsia="zh-CN"/>
        </w:rPr>
        <w:t>有违法或不良信用记录</w:t>
      </w:r>
      <w:r>
        <w:rPr>
          <w:rFonts w:hint="eastAsia" w:ascii="仿宋_GB2312" w:hAnsi="仿宋_GB2312" w:eastAsia="仿宋_GB2312" w:cs="仿宋_GB2312"/>
          <w:color w:val="000000"/>
          <w:spacing w:val="0"/>
          <w:w w:val="100"/>
          <w:position w:val="0"/>
          <w:sz w:val="32"/>
          <w:szCs w:val="32"/>
          <w:highlight w:val="none"/>
        </w:rPr>
        <w:t>的企业及其控股股东不得参与竞买</w:t>
      </w:r>
      <w:r>
        <w:rPr>
          <w:rFonts w:hint="eastAsia" w:ascii="仿宋_GB2312" w:hAnsi="仿宋_GB2312" w:eastAsia="仿宋_GB2312" w:cs="仿宋_GB2312"/>
          <w:color w:val="000000"/>
          <w:spacing w:val="0"/>
          <w:w w:val="100"/>
          <w:position w:val="0"/>
          <w:sz w:val="32"/>
          <w:szCs w:val="32"/>
          <w:highlight w:val="none"/>
          <w:lang w:eastAsia="zh-CN"/>
        </w:rPr>
        <w:t>；</w:t>
      </w:r>
    </w:p>
    <w:p>
      <w:pPr>
        <w:pStyle w:val="9"/>
        <w:keepNext w:val="0"/>
        <w:keepLines w:val="0"/>
        <w:pageBreakBefore w:val="0"/>
        <w:widowControl/>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竞买申请人须具备房地产开发资质</w:t>
      </w:r>
      <w:r>
        <w:rPr>
          <w:rFonts w:hint="eastAsia" w:ascii="仿宋_GB2312" w:hAnsi="仿宋_GB2312" w:eastAsia="仿宋_GB2312" w:cs="仿宋_GB2312"/>
          <w:b w:val="0"/>
          <w:bCs w:val="0"/>
          <w:color w:val="auto"/>
          <w:sz w:val="32"/>
          <w:szCs w:val="32"/>
          <w:highlight w:val="none"/>
          <w:lang w:eastAsia="zh-CN"/>
        </w:rPr>
        <w:t>（或者具备住建部门出具的房地产开发企业资质的核准意见）</w:t>
      </w:r>
      <w:r>
        <w:rPr>
          <w:rFonts w:hint="eastAsia" w:ascii="仿宋_GB2312" w:hAnsi="仿宋_GB2312" w:eastAsia="仿宋_GB2312" w:cs="仿宋_GB2312"/>
          <w:b w:val="0"/>
          <w:bCs w:val="0"/>
          <w:color w:val="auto"/>
          <w:sz w:val="32"/>
          <w:szCs w:val="32"/>
          <w:highlight w:val="none"/>
          <w:lang w:val="en-US" w:eastAsia="zh-CN"/>
        </w:rPr>
        <w:t>，且同一企业及控股公司只允许一家企业参与竞买。</w:t>
      </w:r>
    </w:p>
    <w:p>
      <w:pPr>
        <w:pStyle w:val="9"/>
        <w:keepNext w:val="0"/>
        <w:keepLines w:val="0"/>
        <w:pageBreakBefore w:val="0"/>
        <w:widowControl/>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五、需要说明的事项</w:t>
      </w:r>
    </w:p>
    <w:p>
      <w:pPr>
        <w:pStyle w:val="6"/>
        <w:keepNext w:val="0"/>
        <w:keepLines w:val="0"/>
        <w:pageBreakBefore w:val="0"/>
        <w:widowControl w:val="0"/>
        <w:numPr>
          <w:ilvl w:val="0"/>
          <w:numId w:val="0"/>
        </w:numPr>
        <w:kinsoku/>
        <w:wordWrap/>
        <w:overflowPunct/>
        <w:topLinePunct w:val="0"/>
        <w:autoSpaceDE/>
        <w:autoSpaceDN/>
        <w:bidi w:val="0"/>
        <w:spacing w:before="0" w:line="52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（一）地块竞价溢价达到总地价18847万元时，转为采用摇号方式确定竞得人；</w:t>
      </w:r>
    </w:p>
    <w:p>
      <w:pPr>
        <w:pStyle w:val="6"/>
        <w:keepNext w:val="0"/>
        <w:keepLines w:val="0"/>
        <w:pageBreakBefore w:val="0"/>
        <w:widowControl w:val="0"/>
        <w:numPr>
          <w:ilvl w:val="0"/>
          <w:numId w:val="0"/>
        </w:numPr>
        <w:kinsoku/>
        <w:wordWrap/>
        <w:overflowPunct/>
        <w:topLinePunct w:val="0"/>
        <w:autoSpaceDE/>
        <w:autoSpaceDN/>
        <w:bidi w:val="0"/>
        <w:spacing w:before="0" w:line="52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（二）该地块所建商品住房单套毛坯住房最高销售单价</w:t>
      </w:r>
      <w:r>
        <w:rPr>
          <w:rFonts w:hint="eastAsia" w:ascii="仿宋_GB2312" w:hAnsi="仿宋_GB2312" w:eastAsia="仿宋_GB2312" w:cs="仿宋_GB2312"/>
          <w:bCs/>
          <w:szCs w:val="32"/>
          <w:highlight w:val="none"/>
          <w:lang w:val="en-US" w:eastAsia="zh-CN"/>
        </w:rPr>
        <w:t>12522</w:t>
      </w:r>
      <w:r>
        <w:rPr>
          <w:rFonts w:hint="eastAsia" w:ascii="仿宋_GB2312" w:hAnsi="仿宋_GB2312" w:eastAsia="仿宋_GB2312" w:cs="仿宋_GB2312"/>
          <w:b w:val="0"/>
          <w:bCs w:val="0"/>
          <w:color w:val="auto"/>
          <w:sz w:val="32"/>
          <w:szCs w:val="32"/>
          <w:highlight w:val="none"/>
          <w:lang w:val="en-US" w:eastAsia="zh-CN"/>
        </w:rPr>
        <w:t>元/㎡；</w:t>
      </w:r>
    </w:p>
    <w:p>
      <w:pPr>
        <w:pStyle w:val="6"/>
        <w:keepNext w:val="0"/>
        <w:keepLines w:val="0"/>
        <w:pageBreakBefore w:val="0"/>
        <w:widowControl w:val="0"/>
        <w:numPr>
          <w:ilvl w:val="0"/>
          <w:numId w:val="0"/>
        </w:numPr>
        <w:kinsoku/>
        <w:wordWrap/>
        <w:overflowPunct/>
        <w:topLinePunct w:val="0"/>
        <w:autoSpaceDE/>
        <w:autoSpaceDN/>
        <w:bidi w:val="0"/>
        <w:spacing w:before="0" w:line="52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竞买申请人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人要说明购地资金来源、提供相应证明并对上述要求作出承诺。对于经审查资金来源不符合要求的，根据情况采取取消参与资格竞买、取消竞得资格、解除土地出让合同或收回已出让土地等措施，竞买保证金不予返还，一年内不得在惠州市参加土地竞买；</w:t>
      </w:r>
    </w:p>
    <w:p>
      <w:pPr>
        <w:pStyle w:val="6"/>
        <w:keepNext w:val="0"/>
        <w:keepLines w:val="0"/>
        <w:pageBreakBefore w:val="0"/>
        <w:widowControl w:val="0"/>
        <w:numPr>
          <w:ilvl w:val="0"/>
          <w:numId w:val="0"/>
        </w:numPr>
        <w:kinsoku/>
        <w:wordWrap/>
        <w:overflowPunct/>
        <w:topLinePunct w:val="0"/>
        <w:autoSpaceDE/>
        <w:autoSpaceDN/>
        <w:bidi w:val="0"/>
        <w:spacing w:before="0" w:line="52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（四）竞得人除缴交成交地价款外，还需按规定缴交契税等有关税费；</w:t>
      </w:r>
    </w:p>
    <w:p>
      <w:pPr>
        <w:pStyle w:val="6"/>
        <w:keepNext w:val="0"/>
        <w:keepLines w:val="0"/>
        <w:pageBreakBefore w:val="0"/>
        <w:widowControl w:val="0"/>
        <w:numPr>
          <w:ilvl w:val="0"/>
          <w:numId w:val="0"/>
        </w:numPr>
        <w:kinsoku/>
        <w:wordWrap/>
        <w:overflowPunct/>
        <w:topLinePunct w:val="0"/>
        <w:autoSpaceDE/>
        <w:autoSpaceDN/>
        <w:bidi w:val="0"/>
        <w:spacing w:before="0" w:line="52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（五）非仲恺高新区注册登记的企业竞得土地使用权的，必须在竞得土地后2个月内在仲恺高新区市场监督管理部门注册成立项目开发公司，并以该公司名义办理土地出让与登记发证手续；</w:t>
      </w:r>
    </w:p>
    <w:p>
      <w:pPr>
        <w:pStyle w:val="2"/>
        <w:keepNext w:val="0"/>
        <w:keepLines w:val="0"/>
        <w:pageBreakBefore w:val="0"/>
        <w:widowControl/>
        <w:kinsoku/>
        <w:wordWrap/>
        <w:overflowPunct/>
        <w:topLinePunct w:val="0"/>
        <w:bidi w:val="0"/>
        <w:spacing w:line="560" w:lineRule="exact"/>
        <w:ind w:firstLine="640"/>
        <w:textAlignment w:val="auto"/>
        <w:rPr>
          <w:rFonts w:hint="eastAsia" w:ascii="仿宋_GB2312" w:hAnsi="仿宋_GB2312" w:eastAsia="仿宋_GB2312" w:cs="仿宋_GB2312"/>
          <w:bCs/>
          <w:szCs w:val="32"/>
          <w:highlight w:val="none"/>
          <w:lang w:val="en-US" w:eastAsia="zh-CN"/>
        </w:rPr>
      </w:pPr>
      <w:r>
        <w:rPr>
          <w:rFonts w:hint="eastAsia" w:ascii="仿宋_GB2312" w:hAnsi="仿宋_GB2312" w:eastAsia="仿宋_GB2312" w:cs="仿宋_GB2312"/>
          <w:bCs/>
          <w:kern w:val="0"/>
          <w:sz w:val="32"/>
          <w:szCs w:val="32"/>
          <w:highlight w:val="none"/>
          <w:lang w:val="en-US" w:eastAsia="zh-CN" w:bidi="ar-SA"/>
        </w:rPr>
        <w:t>（六）</w:t>
      </w:r>
      <w:r>
        <w:rPr>
          <w:rFonts w:hint="eastAsia" w:ascii="仿宋_GB2312" w:hAnsi="仿宋_GB2312" w:eastAsia="仿宋_GB2312" w:cs="仿宋_GB2312"/>
          <w:bCs/>
          <w:szCs w:val="32"/>
          <w:highlight w:val="none"/>
          <w:lang w:eastAsia="zh-CN"/>
        </w:rPr>
        <w:t>为加快推进</w:t>
      </w:r>
      <w:r>
        <w:rPr>
          <w:rFonts w:hint="eastAsia" w:ascii="仿宋_GB2312" w:hAnsi="仿宋_GB2312" w:eastAsia="仿宋_GB2312" w:cs="仿宋_GB2312"/>
          <w:bCs/>
          <w:szCs w:val="32"/>
          <w:highlight w:val="none"/>
          <w:lang w:val="en-US" w:eastAsia="zh-CN"/>
        </w:rPr>
        <w:t>幼儿园及托儿所建设，由竞得人在ZKC-063-17号地块配建12班幼儿园和3班托儿所，建成后无偿移交给仲恺高新区宣教文卫办；由仲恺高新区宣教文卫办负责提供幼儿园及托儿所建设标准、审定建设方案，竞得人须</w:t>
      </w:r>
      <w:r>
        <w:rPr>
          <w:rFonts w:hint="eastAsia" w:ascii="仿宋_GB2312" w:hAnsi="仿宋_GB2312" w:eastAsia="仿宋_GB2312" w:cs="仿宋_GB2312"/>
          <w:b w:val="0"/>
          <w:bCs w:val="0"/>
          <w:sz w:val="32"/>
          <w:szCs w:val="32"/>
          <w:highlight w:val="none"/>
          <w:lang w:val="en-US" w:eastAsia="zh-CN"/>
        </w:rPr>
        <w:t>与</w:t>
      </w:r>
      <w:r>
        <w:rPr>
          <w:rFonts w:hint="eastAsia" w:ascii="仿宋_GB2312" w:hAnsi="仿宋_GB2312" w:eastAsia="仿宋_GB2312" w:cs="仿宋_GB2312"/>
          <w:bCs/>
          <w:szCs w:val="32"/>
          <w:highlight w:val="none"/>
          <w:lang w:val="en-US" w:eastAsia="zh-CN"/>
        </w:rPr>
        <w:t>仲恺高新区宣教文卫办签订幼儿园配建及监管协议；</w:t>
      </w:r>
    </w:p>
    <w:p>
      <w:pPr>
        <w:pStyle w:val="2"/>
        <w:keepNext w:val="0"/>
        <w:keepLines w:val="0"/>
        <w:pageBreakBefore w:val="0"/>
        <w:widowControl/>
        <w:kinsoku/>
        <w:wordWrap/>
        <w:overflowPunct/>
        <w:topLinePunct w:val="0"/>
        <w:bidi w:val="0"/>
        <w:spacing w:line="560" w:lineRule="exact"/>
        <w:ind w:firstLine="640"/>
        <w:textAlignment w:val="auto"/>
        <w:rPr>
          <w:rFonts w:hint="eastAsia" w:ascii="仿宋_GB2312" w:hAnsi="仿宋_GB2312" w:eastAsia="仿宋_GB2312" w:cs="仿宋_GB2312"/>
          <w:bCs/>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七）为推进住宅区养老服务设施建设，竞得人须配建养老服务设施，建成后无偿移交给仲恺高新区社会事务局；由仲恺高新区社会事务局负责提供养老服务设施建设标准、审定建设方案，并与竞得人签订养老服务设施配建及监管协议。</w:t>
      </w:r>
    </w:p>
    <w:p>
      <w:pPr>
        <w:pStyle w:val="6"/>
        <w:keepNext w:val="0"/>
        <w:keepLines w:val="0"/>
        <w:pageBreakBefore w:val="0"/>
        <w:widowControl w:val="0"/>
        <w:numPr>
          <w:ilvl w:val="0"/>
          <w:numId w:val="0"/>
        </w:numPr>
        <w:kinsoku/>
        <w:wordWrap/>
        <w:overflowPunct/>
        <w:topLinePunct w:val="0"/>
        <w:autoSpaceDE/>
        <w:autoSpaceDN/>
        <w:bidi w:val="0"/>
        <w:spacing w:before="0" w:line="52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六、</w:t>
      </w:r>
      <w:r>
        <w:rPr>
          <w:rFonts w:hint="eastAsia" w:ascii="仿宋_GB2312" w:hAnsi="仿宋_GB2312" w:eastAsia="仿宋_GB2312" w:cs="仿宋_GB2312"/>
          <w:b w:val="0"/>
          <w:bCs w:val="0"/>
          <w:color w:val="auto"/>
          <w:sz w:val="32"/>
          <w:szCs w:val="32"/>
          <w:highlight w:val="none"/>
        </w:rPr>
        <w:t>竞买保证金</w:t>
      </w:r>
    </w:p>
    <w:p>
      <w:pPr>
        <w:pStyle w:val="6"/>
        <w:keepNext w:val="0"/>
        <w:keepLines w:val="0"/>
        <w:pageBreakBefore w:val="0"/>
        <w:widowControl w:val="0"/>
        <w:numPr>
          <w:ilvl w:val="0"/>
          <w:numId w:val="0"/>
        </w:numPr>
        <w:kinsoku/>
        <w:wordWrap/>
        <w:overflowPunct/>
        <w:topLinePunct w:val="0"/>
        <w:autoSpaceDE/>
        <w:autoSpaceDN/>
        <w:bidi w:val="0"/>
        <w:spacing w:before="0" w:line="52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该宗地竞买保证金为人民币</w:t>
      </w:r>
      <w:r>
        <w:rPr>
          <w:rFonts w:hint="eastAsia" w:ascii="仿宋_GB2312" w:hAnsi="仿宋_GB2312" w:eastAsia="仿宋_GB2312" w:cs="仿宋_GB2312"/>
          <w:b w:val="0"/>
          <w:bCs w:val="0"/>
          <w:color w:val="auto"/>
          <w:sz w:val="32"/>
          <w:szCs w:val="32"/>
          <w:highlight w:val="none"/>
          <w:lang w:val="en-US" w:eastAsia="zh-CN"/>
        </w:rPr>
        <w:t>8194</w:t>
      </w:r>
      <w:r>
        <w:rPr>
          <w:rFonts w:hint="eastAsia" w:ascii="仿宋_GB2312" w:hAnsi="仿宋_GB2312" w:eastAsia="仿宋_GB2312" w:cs="仿宋_GB2312"/>
          <w:b w:val="0"/>
          <w:bCs w:val="0"/>
          <w:color w:val="auto"/>
          <w:sz w:val="32"/>
          <w:szCs w:val="32"/>
          <w:highlight w:val="none"/>
        </w:rPr>
        <w:t>万元</w:t>
      </w:r>
      <w:r>
        <w:rPr>
          <w:rFonts w:hint="eastAsia" w:ascii="仿宋_GB2312" w:hAnsi="仿宋_GB2312" w:eastAsia="仿宋_GB2312" w:cs="仿宋_GB2312"/>
          <w:b w:val="0"/>
          <w:bCs w:val="0"/>
          <w:color w:val="auto"/>
          <w:sz w:val="32"/>
          <w:szCs w:val="32"/>
          <w:highlight w:val="none"/>
          <w:lang w:eastAsia="zh-CN"/>
        </w:rPr>
        <w:t>。</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highlight w:val="none"/>
        </w:rPr>
      </w:pPr>
      <w:bookmarkStart w:id="1" w:name="bookmark19"/>
      <w:r>
        <w:rPr>
          <w:rFonts w:hint="eastAsia" w:ascii="仿宋_GB2312" w:hAnsi="仿宋_GB2312" w:eastAsia="仿宋_GB2312" w:cs="仿宋_GB2312"/>
          <w:color w:val="000000"/>
          <w:spacing w:val="0"/>
          <w:w w:val="100"/>
          <w:position w:val="0"/>
          <w:sz w:val="32"/>
          <w:szCs w:val="32"/>
          <w:highlight w:val="none"/>
        </w:rPr>
        <w:t>（</w:t>
      </w:r>
      <w:bookmarkEnd w:id="1"/>
      <w:r>
        <w:rPr>
          <w:rFonts w:hint="eastAsia" w:ascii="仿宋_GB2312" w:hAnsi="仿宋_GB2312" w:eastAsia="仿宋_GB2312" w:cs="仿宋_GB2312"/>
          <w:color w:val="000000"/>
          <w:spacing w:val="0"/>
          <w:w w:val="100"/>
          <w:position w:val="0"/>
          <w:sz w:val="32"/>
          <w:szCs w:val="32"/>
          <w:highlight w:val="none"/>
        </w:rPr>
        <w:t>二）申请人应当在网上挂牌出让竞买保证金到账截止时间前登录惠州市公共资源交易中心土地与矿业网上挂牌交易系统（以下简称“网上挂牌交易系统”，网址：</w:t>
      </w:r>
      <w:r>
        <w:rPr>
          <w:rFonts w:hint="eastAsia" w:ascii="仿宋_GB2312" w:hAnsi="仿宋_GB2312" w:eastAsia="仿宋_GB2312" w:cs="仿宋_GB2312"/>
          <w:color w:val="000000"/>
          <w:spacing w:val="0"/>
          <w:w w:val="100"/>
          <w:position w:val="0"/>
          <w:sz w:val="32"/>
          <w:szCs w:val="32"/>
          <w:highlight w:val="none"/>
          <w:lang w:val="en-US" w:eastAsia="en-US"/>
        </w:rPr>
        <w:t>https://www.hzgtjy.com/</w:t>
      </w:r>
      <w:r>
        <w:rPr>
          <w:rFonts w:hint="eastAsia" w:ascii="仿宋_GB2312" w:hAnsi="仿宋_GB2312" w:eastAsia="仿宋_GB2312" w:cs="仿宋_GB2312"/>
          <w:color w:val="000000"/>
          <w:spacing w:val="0"/>
          <w:w w:val="100"/>
          <w:position w:val="0"/>
          <w:sz w:val="32"/>
          <w:szCs w:val="32"/>
          <w:highlight w:val="none"/>
        </w:rPr>
        <w:t>）获取竞买保证金支付账号。</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highlight w:val="none"/>
        </w:rPr>
      </w:pPr>
      <w:bookmarkStart w:id="2" w:name="bookmark20"/>
      <w:r>
        <w:rPr>
          <w:rFonts w:hint="eastAsia" w:ascii="仿宋_GB2312" w:hAnsi="仿宋_GB2312" w:eastAsia="仿宋_GB2312" w:cs="仿宋_GB2312"/>
          <w:color w:val="000000"/>
          <w:spacing w:val="0"/>
          <w:w w:val="100"/>
          <w:position w:val="0"/>
          <w:sz w:val="32"/>
          <w:szCs w:val="32"/>
          <w:highlight w:val="none"/>
        </w:rPr>
        <w:t>（</w:t>
      </w:r>
      <w:bookmarkEnd w:id="2"/>
      <w:r>
        <w:rPr>
          <w:rFonts w:hint="eastAsia" w:ascii="仿宋_GB2312" w:hAnsi="仿宋_GB2312" w:eastAsia="仿宋_GB2312" w:cs="仿宋_GB2312"/>
          <w:color w:val="000000"/>
          <w:spacing w:val="0"/>
          <w:w w:val="100"/>
          <w:position w:val="0"/>
          <w:sz w:val="32"/>
          <w:szCs w:val="32"/>
          <w:highlight w:val="none"/>
        </w:rPr>
        <w:t>三）竞买保证金到账时间以网上挂牌交易系统确认并发出 《保证金到账通知书》为准。</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竞买申请</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本宗国有建设用地使用权网上挂牌出让只接受网上竞买申请，即通过网上挂牌交易系统进行，不接受电话、邮寄、书面、电子邮件及口头竞买。凡</w:t>
      </w:r>
      <w:r>
        <w:rPr>
          <w:rFonts w:hint="eastAsia" w:ascii="仿宋_GB2312" w:hAnsi="仿宋_GB2312" w:eastAsia="仿宋_GB2312" w:cs="仿宋_GB2312"/>
          <w:b w:val="0"/>
          <w:bCs w:val="0"/>
          <w:color w:val="auto"/>
          <w:sz w:val="32"/>
          <w:szCs w:val="32"/>
          <w:highlight w:val="none"/>
          <w:lang w:val="en-US" w:eastAsia="zh-CN"/>
        </w:rPr>
        <w:t>符合竞买资格要求并</w:t>
      </w:r>
      <w:r>
        <w:rPr>
          <w:rFonts w:hint="eastAsia" w:ascii="仿宋_GB2312" w:hAnsi="仿宋_GB2312" w:eastAsia="仿宋_GB2312" w:cs="仿宋_GB2312"/>
          <w:b w:val="0"/>
          <w:bCs w:val="0"/>
          <w:color w:val="auto"/>
          <w:sz w:val="32"/>
          <w:szCs w:val="32"/>
          <w:highlight w:val="none"/>
        </w:rPr>
        <w:t>办理数字证书、按要求足额交纳竞买保证金的申请人，方可参加网上挂牌交易活动。</w:t>
      </w:r>
    </w:p>
    <w:p>
      <w:pPr>
        <w:pStyle w:val="5"/>
        <w:keepNext w:val="0"/>
        <w:keepLines w:val="0"/>
        <w:pageBreakBefore w:val="0"/>
        <w:kinsoku/>
        <w:wordWrap/>
        <w:overflowPunct/>
        <w:topLinePunct w:val="0"/>
        <w:autoSpaceDE/>
        <w:autoSpaceDN/>
        <w:bidi w:val="0"/>
        <w:spacing w:line="520" w:lineRule="exact"/>
        <w:ind w:firstLine="579" w:firstLineChars="181"/>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本宗国有建设用地使用权网上挂牌出让实行竞买资格后置审查。竞买申请人交纳足额竞买保证金即获得竞买报价权限。</w:t>
      </w:r>
    </w:p>
    <w:p>
      <w:pPr>
        <w:pStyle w:val="6"/>
        <w:keepNext w:val="0"/>
        <w:keepLines w:val="0"/>
        <w:pageBreakBefore w:val="0"/>
        <w:widowControl w:val="0"/>
        <w:kinsoku/>
        <w:wordWrap/>
        <w:overflowPunct/>
        <w:topLinePunct w:val="0"/>
        <w:autoSpaceDE/>
        <w:autoSpaceDN/>
        <w:bidi w:val="0"/>
        <w:spacing w:before="0" w:line="52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八、</w:t>
      </w:r>
      <w:r>
        <w:rPr>
          <w:rFonts w:hint="eastAsia" w:ascii="仿宋_GB2312" w:hAnsi="仿宋_GB2312" w:eastAsia="仿宋_GB2312" w:cs="仿宋_GB2312"/>
          <w:b w:val="0"/>
          <w:bCs w:val="0"/>
          <w:color w:val="auto"/>
          <w:sz w:val="32"/>
          <w:szCs w:val="32"/>
          <w:highlight w:val="none"/>
        </w:rPr>
        <w:t>竞买人电子报价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电子限时竞价</w:t>
      </w:r>
      <w:r>
        <w:rPr>
          <w:rFonts w:hint="eastAsia" w:ascii="仿宋_GB2312" w:hAnsi="仿宋_GB2312" w:eastAsia="仿宋_GB2312" w:cs="仿宋_GB2312"/>
          <w:b w:val="0"/>
          <w:bCs w:val="0"/>
          <w:color w:val="auto"/>
          <w:sz w:val="32"/>
          <w:szCs w:val="32"/>
          <w:highlight w:val="none"/>
          <w:lang w:val="en-US" w:eastAsia="zh-CN"/>
        </w:rPr>
        <w:t>及摇号</w:t>
      </w:r>
    </w:p>
    <w:p>
      <w:pPr>
        <w:pStyle w:val="5"/>
        <w:keepNext w:val="0"/>
        <w:keepLines w:val="0"/>
        <w:pageBreakBefore w:val="0"/>
        <w:kinsoku/>
        <w:wordWrap/>
        <w:overflowPunct/>
        <w:topLinePunct w:val="0"/>
        <w:autoSpaceDE/>
        <w:autoSpaceDN/>
        <w:bidi w:val="0"/>
        <w:spacing w:line="520" w:lineRule="exact"/>
        <w:ind w:firstLine="579" w:firstLineChars="181"/>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rPr>
        <w:t>竞买人须详细阅读本宗地网上挂牌出让公告、竞买须知及网上挂牌交易系统操作指南，熟练操作网上挂牌交易系统，按竞买规则进行电子报价及电子限时竞价。</w:t>
      </w:r>
    </w:p>
    <w:p>
      <w:pPr>
        <w:pStyle w:val="5"/>
        <w:keepNext w:val="0"/>
        <w:keepLines w:val="0"/>
        <w:pageBreakBefore w:val="0"/>
        <w:kinsoku/>
        <w:wordWrap/>
        <w:overflowPunct/>
        <w:topLinePunct w:val="0"/>
        <w:autoSpaceDE/>
        <w:autoSpaceDN/>
        <w:bidi w:val="0"/>
        <w:spacing w:line="520" w:lineRule="exact"/>
        <w:ind w:firstLine="579" w:firstLineChars="181"/>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九、</w:t>
      </w:r>
      <w:r>
        <w:rPr>
          <w:rFonts w:hint="eastAsia" w:ascii="仿宋_GB2312" w:hAnsi="仿宋_GB2312" w:eastAsia="仿宋_GB2312" w:cs="仿宋_GB2312"/>
          <w:b w:val="0"/>
          <w:bCs w:val="0"/>
          <w:color w:val="auto"/>
          <w:sz w:val="32"/>
          <w:szCs w:val="32"/>
          <w:highlight w:val="none"/>
        </w:rPr>
        <w:t>确定成交候选人</w:t>
      </w:r>
    </w:p>
    <w:p>
      <w:pPr>
        <w:pStyle w:val="5"/>
        <w:keepNext w:val="0"/>
        <w:keepLines w:val="0"/>
        <w:pageBreakBefore w:val="0"/>
        <w:kinsoku/>
        <w:wordWrap/>
        <w:overflowPunct/>
        <w:topLinePunct w:val="0"/>
        <w:autoSpaceDE/>
        <w:autoSpaceDN/>
        <w:bidi w:val="0"/>
        <w:spacing w:line="520" w:lineRule="exact"/>
        <w:ind w:firstLine="579" w:firstLineChars="181"/>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本</w:t>
      </w:r>
      <w:r>
        <w:rPr>
          <w:rFonts w:hint="eastAsia" w:ascii="仿宋_GB2312" w:hAnsi="仿宋_GB2312" w:eastAsia="仿宋_GB2312" w:cs="仿宋_GB2312"/>
          <w:b w:val="0"/>
          <w:bCs w:val="0"/>
          <w:color w:val="auto"/>
          <w:sz w:val="32"/>
          <w:szCs w:val="32"/>
          <w:highlight w:val="none"/>
          <w:lang w:eastAsia="zh-CN"/>
        </w:rPr>
        <w:t>宗</w:t>
      </w:r>
      <w:r>
        <w:rPr>
          <w:rFonts w:hint="eastAsia" w:ascii="仿宋_GB2312" w:hAnsi="仿宋_GB2312" w:eastAsia="仿宋_GB2312" w:cs="仿宋_GB2312"/>
          <w:b w:val="0"/>
          <w:bCs w:val="0"/>
          <w:color w:val="auto"/>
          <w:sz w:val="32"/>
          <w:szCs w:val="32"/>
          <w:highlight w:val="none"/>
        </w:rPr>
        <w:t>国有建设用地使用权网上挂牌出让为无底价挂牌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采取</w:t>
      </w:r>
      <w:r>
        <w:rPr>
          <w:rFonts w:hint="eastAsia" w:ascii="仿宋_GB2312" w:hAnsi="仿宋_GB2312" w:eastAsia="仿宋_GB2312" w:cs="仿宋_GB2312"/>
          <w:b w:val="0"/>
          <w:bCs/>
          <w:sz w:val="32"/>
          <w:szCs w:val="32"/>
          <w:lang w:eastAsia="zh-CN"/>
        </w:rPr>
        <w:t>“限地价、摇号”</w:t>
      </w:r>
      <w:r>
        <w:rPr>
          <w:rFonts w:hint="eastAsia" w:ascii="仿宋_GB2312" w:hAnsi="仿宋_GB2312" w:eastAsia="仿宋_GB2312" w:cs="仿宋_GB2312"/>
          <w:b w:val="0"/>
          <w:bCs w:val="0"/>
          <w:color w:val="auto"/>
          <w:sz w:val="32"/>
          <w:szCs w:val="32"/>
          <w:highlight w:val="none"/>
        </w:rPr>
        <w:t>方式出让并确定成交候选人。</w:t>
      </w:r>
    </w:p>
    <w:p>
      <w:pPr>
        <w:pStyle w:val="5"/>
        <w:keepNext w:val="0"/>
        <w:keepLines w:val="0"/>
        <w:pageBreakBefore w:val="0"/>
        <w:kinsoku/>
        <w:wordWrap/>
        <w:overflowPunct/>
        <w:topLinePunct w:val="0"/>
        <w:autoSpaceDE/>
        <w:autoSpaceDN/>
        <w:bidi w:val="0"/>
        <w:spacing w:line="520" w:lineRule="exact"/>
        <w:ind w:firstLine="579" w:firstLineChars="181"/>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十、</w:t>
      </w:r>
      <w:r>
        <w:rPr>
          <w:rFonts w:hint="eastAsia" w:ascii="仿宋_GB2312" w:hAnsi="仿宋_GB2312" w:eastAsia="仿宋_GB2312" w:cs="仿宋_GB2312"/>
          <w:b w:val="0"/>
          <w:bCs w:val="0"/>
          <w:color w:val="auto"/>
          <w:sz w:val="32"/>
          <w:szCs w:val="32"/>
          <w:highlight w:val="none"/>
        </w:rPr>
        <w:t>资格审查</w:t>
      </w:r>
    </w:p>
    <w:p>
      <w:pPr>
        <w:pStyle w:val="5"/>
        <w:keepNext w:val="0"/>
        <w:keepLines w:val="0"/>
        <w:pageBreakBefore w:val="0"/>
        <w:kinsoku/>
        <w:wordWrap/>
        <w:overflowPunct/>
        <w:topLinePunct w:val="0"/>
        <w:autoSpaceDE/>
        <w:autoSpaceDN/>
        <w:bidi w:val="0"/>
        <w:spacing w:line="520" w:lineRule="exact"/>
        <w:ind w:firstLine="579" w:firstLineChars="181"/>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成交候选人应在网上挂牌交易系统确定成交候选人之日起</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个工作日内将竞买申请纸质材料提交至我局，由我局对竞买资格进行审查。我局将</w:t>
      </w:r>
      <w:r>
        <w:rPr>
          <w:rFonts w:hint="eastAsia" w:ascii="仿宋_GB2312" w:hAnsi="仿宋_GB2312" w:eastAsia="仿宋_GB2312" w:cs="仿宋_GB2312"/>
          <w:b w:val="0"/>
          <w:bCs w:val="0"/>
          <w:color w:val="auto"/>
          <w:sz w:val="32"/>
          <w:szCs w:val="32"/>
          <w:highlight w:val="none"/>
          <w:u w:val="none"/>
        </w:rPr>
        <w:t>于</w:t>
      </w:r>
      <w:r>
        <w:rPr>
          <w:rFonts w:hint="eastAsia" w:ascii="仿宋_GB2312" w:hAnsi="仿宋_GB2312" w:eastAsia="仿宋_GB2312" w:cs="仿宋_GB2312"/>
          <w:b w:val="0"/>
          <w:bCs w:val="0"/>
          <w:color w:val="auto"/>
          <w:sz w:val="32"/>
          <w:szCs w:val="32"/>
          <w:highlight w:val="none"/>
          <w:u w:val="none"/>
          <w:lang w:val="en-US" w:eastAsia="zh-CN"/>
        </w:rPr>
        <w:t>2022</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28</w:t>
      </w:r>
      <w:r>
        <w:rPr>
          <w:rFonts w:hint="eastAsia" w:ascii="仿宋_GB2312" w:hAnsi="仿宋_GB2312" w:eastAsia="仿宋_GB2312" w:cs="仿宋_GB2312"/>
          <w:b w:val="0"/>
          <w:bCs w:val="0"/>
          <w:color w:val="auto"/>
          <w:sz w:val="32"/>
          <w:szCs w:val="32"/>
          <w:highlight w:val="none"/>
          <w:u w:val="none"/>
        </w:rPr>
        <w:t>日</w:t>
      </w:r>
      <w:r>
        <w:rPr>
          <w:rFonts w:hint="eastAsia" w:ascii="仿宋_GB2312" w:hAnsi="仿宋_GB2312" w:eastAsia="仿宋_GB2312" w:cs="仿宋_GB2312"/>
          <w:b w:val="0"/>
          <w:bCs w:val="0"/>
          <w:color w:val="auto"/>
          <w:sz w:val="32"/>
          <w:szCs w:val="32"/>
          <w:highlight w:val="none"/>
        </w:rPr>
        <w:t xml:space="preserve">前确定符合竞买资格的成交候选人为竞得人。 </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成交候选人资格审查须提交下列材料</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一式两份</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一</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rPr>
        <w:t>《竞买申请书》（加盖公章）；</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二</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rPr>
        <w:t>《竞价结果通知书》（加盖公章）；</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三</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rPr>
        <w:t>《竞买保证金到账通知书》（加盖公章）；</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四</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rPr>
        <w:t>竞买保证金转账凭证复印件（加盖公章）；</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五</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rPr>
        <w:t>申请竞买人有效的《营业执照》复印件（加盖公章）；</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六</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rPr>
        <w:t>法定代表人身份证复印件（加盖公章）；</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七</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rPr>
        <w:t>授权他人代理的授权委托书及代理人身份证复印件（核对原件）</w:t>
      </w:r>
      <w:r>
        <w:rPr>
          <w:rFonts w:hint="eastAsia" w:ascii="仿宋_GB2312" w:hAnsi="仿宋_GB2312" w:eastAsia="仿宋_GB2312" w:cs="仿宋_GB2312"/>
          <w:b w:val="0"/>
          <w:bCs w:val="0"/>
          <w:color w:val="auto"/>
          <w:kern w:val="2"/>
          <w:sz w:val="32"/>
          <w:szCs w:val="32"/>
          <w:highlight w:val="none"/>
          <w:lang w:eastAsia="zh-CN"/>
        </w:rPr>
        <w:t>；</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rPr>
        <w:t>（八）房地产开发资质材料;</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rPr>
        <w:t>（九）购地资金来源承诺书。</w:t>
      </w:r>
    </w:p>
    <w:p>
      <w:pPr>
        <w:keepNext w:val="0"/>
        <w:keepLines w:val="0"/>
        <w:pageBreakBefore w:val="0"/>
        <w:kinsoku/>
        <w:wordWrap/>
        <w:overflowPunct/>
        <w:topLinePunct w:val="0"/>
        <w:autoSpaceDE/>
        <w:autoSpaceDN/>
        <w:bidi w:val="0"/>
        <w:spacing w:line="520" w:lineRule="exact"/>
        <w:ind w:firstLine="555"/>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签订成交确认书</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出让合同</w:t>
      </w:r>
      <w:r>
        <w:rPr>
          <w:rFonts w:hint="eastAsia" w:ascii="仿宋_GB2312" w:hAnsi="仿宋_GB2312" w:eastAsia="仿宋_GB2312" w:cs="仿宋_GB2312"/>
          <w:b w:val="0"/>
          <w:bCs w:val="0"/>
          <w:color w:val="auto"/>
          <w:sz w:val="32"/>
          <w:szCs w:val="32"/>
          <w:highlight w:val="none"/>
          <w:lang w:val="en-US" w:eastAsia="zh-CN"/>
        </w:rPr>
        <w:t>及支付土地出让金</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竞得人应在接到竞得人确定通知之日起</w:t>
      </w:r>
      <w:r>
        <w:rPr>
          <w:rFonts w:hint="eastAsia" w:ascii="仿宋_GB2312" w:hAnsi="仿宋_GB2312" w:eastAsia="仿宋_GB2312" w:cs="仿宋_GB2312"/>
          <w:b w:val="0"/>
          <w:bCs w:val="0"/>
          <w:color w:val="auto"/>
          <w:sz w:val="32"/>
          <w:szCs w:val="32"/>
          <w:highlight w:val="none"/>
          <w:u w:val="none"/>
          <w:lang w:val="en-US" w:eastAsia="zh-CN"/>
        </w:rPr>
        <w:t>2</w:t>
      </w:r>
      <w:r>
        <w:rPr>
          <w:rFonts w:hint="eastAsia" w:ascii="仿宋_GB2312" w:hAnsi="仿宋_GB2312" w:eastAsia="仿宋_GB2312" w:cs="仿宋_GB2312"/>
          <w:b w:val="0"/>
          <w:bCs w:val="0"/>
          <w:color w:val="auto"/>
          <w:sz w:val="32"/>
          <w:szCs w:val="32"/>
          <w:highlight w:val="none"/>
        </w:rPr>
        <w:t>个工作日内</w:t>
      </w:r>
      <w:r>
        <w:rPr>
          <w:rFonts w:hint="eastAsia" w:ascii="仿宋_GB2312" w:hAnsi="仿宋_GB2312" w:eastAsia="仿宋_GB2312" w:cs="仿宋_GB2312"/>
          <w:b w:val="0"/>
          <w:bCs w:val="0"/>
          <w:color w:val="auto"/>
          <w:sz w:val="32"/>
          <w:szCs w:val="32"/>
          <w:highlight w:val="none"/>
          <w:lang w:eastAsia="zh-CN"/>
        </w:rPr>
        <w:t>与我局、</w:t>
      </w:r>
      <w:r>
        <w:rPr>
          <w:rFonts w:hint="eastAsia" w:ascii="仿宋_GB2312" w:hAnsi="仿宋_GB2312" w:eastAsia="仿宋_GB2312" w:cs="仿宋_GB2312"/>
          <w:b w:val="0"/>
          <w:bCs w:val="0"/>
          <w:color w:val="auto"/>
          <w:sz w:val="32"/>
          <w:szCs w:val="32"/>
          <w:highlight w:val="none"/>
          <w:lang w:val="en-US" w:eastAsia="zh-CN"/>
        </w:rPr>
        <w:t>惠州市公共资源交易中心仲恺分中心</w:t>
      </w:r>
      <w:r>
        <w:rPr>
          <w:rFonts w:hint="eastAsia" w:ascii="仿宋_GB2312" w:hAnsi="仿宋_GB2312" w:eastAsia="仿宋_GB2312" w:cs="仿宋_GB2312"/>
          <w:b w:val="0"/>
          <w:bCs w:val="0"/>
          <w:color w:val="auto"/>
          <w:sz w:val="32"/>
          <w:szCs w:val="32"/>
          <w:highlight w:val="none"/>
        </w:rPr>
        <w:t>签订《成交确认书》，签订《成交确认书》之日起5个工作日内，须向</w:t>
      </w:r>
      <w:r>
        <w:rPr>
          <w:rFonts w:hint="eastAsia" w:ascii="仿宋_GB2312" w:hAnsi="仿宋_GB2312" w:eastAsia="仿宋_GB2312" w:cs="仿宋_GB2312"/>
          <w:b w:val="0"/>
          <w:bCs w:val="0"/>
          <w:color w:val="auto"/>
          <w:sz w:val="32"/>
          <w:szCs w:val="32"/>
          <w:highlight w:val="none"/>
          <w:lang w:val="en-US" w:eastAsia="zh-CN"/>
        </w:rPr>
        <w:t>我</w:t>
      </w:r>
      <w:r>
        <w:rPr>
          <w:rFonts w:hint="eastAsia" w:ascii="仿宋_GB2312" w:hAnsi="仿宋_GB2312" w:eastAsia="仿宋_GB2312" w:cs="仿宋_GB2312"/>
          <w:b w:val="0"/>
          <w:bCs w:val="0"/>
          <w:color w:val="auto"/>
          <w:sz w:val="32"/>
          <w:szCs w:val="32"/>
          <w:highlight w:val="none"/>
        </w:rPr>
        <w:t>局提交申请受让国有建设用地使用权的有关材料；签订《成交确认书》之日起10个工作日内，须与</w:t>
      </w:r>
      <w:r>
        <w:rPr>
          <w:rFonts w:hint="eastAsia" w:ascii="仿宋_GB2312" w:hAnsi="仿宋_GB2312" w:eastAsia="仿宋_GB2312" w:cs="仿宋_GB2312"/>
          <w:b w:val="0"/>
          <w:bCs w:val="0"/>
          <w:color w:val="auto"/>
          <w:sz w:val="32"/>
          <w:szCs w:val="32"/>
          <w:highlight w:val="none"/>
          <w:lang w:val="en-US" w:eastAsia="zh-CN"/>
        </w:rPr>
        <w:t>我局</w:t>
      </w:r>
      <w:r>
        <w:rPr>
          <w:rFonts w:hint="eastAsia" w:ascii="仿宋_GB2312" w:hAnsi="仿宋_GB2312" w:eastAsia="仿宋_GB2312" w:cs="仿宋_GB2312"/>
          <w:b w:val="0"/>
          <w:bCs w:val="0"/>
          <w:color w:val="auto"/>
          <w:sz w:val="32"/>
          <w:szCs w:val="32"/>
          <w:highlight w:val="none"/>
        </w:rPr>
        <w:t>签订《出让合同》。土地出让金于《出让合同》签订之日起30日内一次性付清。竞得人逾期不签订《出让合同》的或已签《出让合同》不缴纳成交价款的，必须收回土地，并按规定处罚。</w:t>
      </w:r>
    </w:p>
    <w:p>
      <w:pPr>
        <w:keepNext w:val="0"/>
        <w:keepLines w:val="0"/>
        <w:pageBreakBefore w:val="0"/>
        <w:kinsoku/>
        <w:wordWrap/>
        <w:overflowPunct/>
        <w:topLinePunct w:val="0"/>
        <w:autoSpaceDE/>
        <w:autoSpaceDN/>
        <w:bidi w:val="0"/>
        <w:spacing w:line="520" w:lineRule="exact"/>
        <w:ind w:firstLine="555"/>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付清出让金及有关税费后，竞得人可申请办理建设用地审批及土地登记发证手续。</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十二、</w:t>
      </w:r>
      <w:r>
        <w:rPr>
          <w:rFonts w:hint="eastAsia" w:ascii="仿宋_GB2312" w:hAnsi="仿宋_GB2312" w:eastAsia="仿宋_GB2312" w:cs="仿宋_GB2312"/>
          <w:b w:val="0"/>
          <w:bCs w:val="0"/>
          <w:color w:val="auto"/>
          <w:sz w:val="32"/>
          <w:szCs w:val="32"/>
          <w:highlight w:val="none"/>
        </w:rPr>
        <w:t>竞买保证金退还或转付成交价款</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未成功竞得的竞买人所交竞买保证金，在5个工作日内予以退还；若违法违规竞买的，按有关规定处罚后予以退还。</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竞得人签订《成交确认书》后，缴交的保证金中按成交价的20%转作定金;竞得人逾期或拒绝签订《出让合同》的，定金不予退还。竞得人签订《出让合同》后，定金转作土地出让价款。</w:t>
      </w:r>
    </w:p>
    <w:p>
      <w:pPr>
        <w:pStyle w:val="5"/>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bCs w:val="0"/>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rPr>
        <w:t>、违规责任</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成交候选人（或竞得人）有下列行为之一的，取消候选人资格（或竞得资格），竞价结果无效，竞买保证金不予退还,造成损失的，成交候选人（或竞得人）还应依法承担赔偿责任：</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不符合竞买资格条件的；</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提供虚假文件材料，隐瞒重要事实的；</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采取行贿、恶意串通等非法手段竞得的；</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四</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无正当理由逾期或拒绝签订成交确认书的；</w:t>
      </w:r>
    </w:p>
    <w:p>
      <w:pPr>
        <w:pStyle w:val="5"/>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bCs w:val="0"/>
          <w:color w:val="auto"/>
          <w:sz w:val="32"/>
          <w:szCs w:val="32"/>
          <w:highlight w:val="none"/>
          <w:lang w:eastAsia="zh-CN"/>
        </w:rPr>
        <w:t>四</w:t>
      </w:r>
      <w:r>
        <w:rPr>
          <w:rFonts w:hint="eastAsia" w:ascii="仿宋_GB2312" w:hAnsi="仿宋_GB2312" w:eastAsia="仿宋_GB2312" w:cs="仿宋_GB2312"/>
          <w:b w:val="0"/>
          <w:bCs w:val="0"/>
          <w:color w:val="auto"/>
          <w:sz w:val="32"/>
          <w:szCs w:val="32"/>
          <w:highlight w:val="none"/>
        </w:rPr>
        <w:t>、其他需要公告的事项</w:t>
      </w:r>
    </w:p>
    <w:p>
      <w:pPr>
        <w:keepNext w:val="0"/>
        <w:keepLines w:val="0"/>
        <w:pageBreakBefore w:val="0"/>
        <w:kinsoku/>
        <w:wordWrap/>
        <w:overflowPunct/>
        <w:topLinePunct w:val="0"/>
        <w:autoSpaceDE/>
        <w:autoSpaceDN/>
        <w:bidi w:val="0"/>
        <w:spacing w:line="520" w:lineRule="exact"/>
        <w:ind w:firstLine="555"/>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（一）本宗地网上挂牌出让的详细资料和具体要求，见网上挂牌交易系统。申请人可在网上挂牌交易系统下载挂牌出让公告、须知及相关交易文件。</w:t>
      </w:r>
    </w:p>
    <w:p>
      <w:pPr>
        <w:pStyle w:val="5"/>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（二）有意竞买者可以自行到地块现场踏勘（可在网上挂牌交易系统查阅</w:t>
      </w:r>
      <w:r>
        <w:rPr>
          <w:rFonts w:hint="eastAsia" w:ascii="仿宋_GB2312" w:hAnsi="仿宋_GB2312" w:eastAsia="仿宋_GB2312" w:cs="仿宋_GB2312"/>
          <w:b w:val="0"/>
          <w:bCs w:val="0"/>
          <w:color w:val="auto"/>
          <w:sz w:val="32"/>
          <w:szCs w:val="32"/>
          <w:highlight w:val="none"/>
          <w:lang w:val="en-US" w:eastAsia="zh-CN"/>
        </w:rPr>
        <w:t>用地红线图</w:t>
      </w:r>
      <w:r>
        <w:rPr>
          <w:rFonts w:hint="eastAsia" w:ascii="仿宋_GB2312" w:hAnsi="仿宋_GB2312" w:eastAsia="仿宋_GB2312" w:cs="仿宋_GB2312"/>
          <w:b w:val="0"/>
          <w:bCs w:val="0"/>
          <w:color w:val="auto"/>
          <w:sz w:val="32"/>
          <w:szCs w:val="32"/>
          <w:highlight w:val="none"/>
        </w:rPr>
        <w:t>）。</w:t>
      </w:r>
    </w:p>
    <w:p>
      <w:pPr>
        <w:pStyle w:val="5"/>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（三）竞买申请一经受理确认后，即视为竞买人对网上挂牌出让公告、须知、相关交易文件及地块现状无异议并全部接受，并对有关承诺承担法律责任。</w:t>
      </w:r>
    </w:p>
    <w:p>
      <w:pPr>
        <w:pStyle w:val="5"/>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（四）地块动工竣工时间及地块交付时间</w:t>
      </w:r>
    </w:p>
    <w:p>
      <w:pPr>
        <w:pStyle w:val="5"/>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《出让合同》签订之日交付土地；动工时间为土地交付之日起1年内，竣工时间为土地交付之日起3年内。</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（五）该宗地交易全程适用</w:t>
      </w:r>
      <w:r>
        <w:rPr>
          <w:rFonts w:hint="eastAsia" w:ascii="仿宋_GB2312" w:hAnsi="仿宋_GB2312" w:eastAsia="仿宋_GB2312" w:cs="仿宋_GB2312"/>
          <w:b w:val="0"/>
          <w:bCs w:val="0"/>
          <w:color w:val="auto"/>
          <w:sz w:val="32"/>
          <w:szCs w:val="32"/>
          <w:highlight w:val="none"/>
        </w:rPr>
        <w:t>《惠州市政务服务数据管理局</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惠州市公共资源交易中心公共资源电子交易规则》</w:t>
      </w:r>
      <w:r>
        <w:rPr>
          <w:rFonts w:hint="eastAsia" w:ascii="仿宋_GB2312" w:hAnsi="仿宋_GB2312" w:eastAsia="仿宋_GB2312" w:cs="仿宋_GB2312"/>
          <w:b w:val="0"/>
          <w:bCs w:val="0"/>
          <w:color w:val="auto"/>
          <w:sz w:val="32"/>
          <w:szCs w:val="32"/>
          <w:highlight w:val="none"/>
          <w:lang w:val="en-US" w:eastAsia="zh-CN"/>
        </w:rPr>
        <w:t>（惠市政数〔2022〕3号）。</w:t>
      </w:r>
    </w:p>
    <w:p>
      <w:pPr>
        <w:keepNext w:val="0"/>
        <w:keepLines w:val="0"/>
        <w:pageBreakBefore w:val="0"/>
        <w:numPr>
          <w:ilvl w:val="0"/>
          <w:numId w:val="0"/>
        </w:numPr>
        <w:kinsoku/>
        <w:wordWrap/>
        <w:overflowPunct/>
        <w:topLinePunct w:val="0"/>
        <w:autoSpaceDE/>
        <w:autoSpaceDN/>
        <w:bidi w:val="0"/>
        <w:spacing w:line="520" w:lineRule="exact"/>
        <w:ind w:leftChars="200" w:firstLine="320" w:firstLineChars="1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十五、</w:t>
      </w:r>
      <w:r>
        <w:rPr>
          <w:rFonts w:hint="eastAsia" w:ascii="仿宋_GB2312" w:hAnsi="仿宋_GB2312" w:eastAsia="仿宋_GB2312" w:cs="仿宋_GB2312"/>
          <w:b w:val="0"/>
          <w:bCs w:val="0"/>
          <w:color w:val="auto"/>
          <w:sz w:val="32"/>
          <w:szCs w:val="32"/>
          <w:highlight w:val="none"/>
        </w:rPr>
        <w:t>联系方式：</w:t>
      </w:r>
    </w:p>
    <w:p>
      <w:pPr>
        <w:keepNext w:val="0"/>
        <w:keepLines w:val="0"/>
        <w:pageBreakBefore w:val="0"/>
        <w:kinsoku/>
        <w:wordWrap/>
        <w:overflowPunct/>
        <w:topLinePunct w:val="0"/>
        <w:autoSpaceDE/>
        <w:autoSpaceDN/>
        <w:bidi w:val="0"/>
        <w:spacing w:line="520" w:lineRule="exact"/>
        <w:ind w:right="640" w:firstLine="640" w:firstLineChars="200"/>
        <w:textAlignment w:val="auto"/>
        <w:rPr>
          <w:rFonts w:hint="eastAsia" w:ascii="仿宋_GB2312" w:hAnsi="仿宋_GB2312" w:eastAsia="仿宋_GB2312" w:cs="仿宋_GB2312"/>
          <w:b w:val="0"/>
          <w:bCs w:val="0"/>
          <w:color w:val="auto"/>
          <w:sz w:val="32"/>
          <w:szCs w:val="32"/>
          <w:highlight w:val="none"/>
          <w:u w:val="single"/>
        </w:rPr>
      </w:pPr>
      <w:r>
        <w:rPr>
          <w:rFonts w:hint="eastAsia" w:ascii="仿宋_GB2312" w:hAnsi="仿宋_GB2312" w:eastAsia="仿宋_GB2312" w:cs="仿宋_GB2312"/>
          <w:b w:val="0"/>
          <w:bCs w:val="0"/>
          <w:color w:val="auto"/>
          <w:sz w:val="32"/>
          <w:szCs w:val="32"/>
          <w:highlight w:val="none"/>
        </w:rPr>
        <w:t>出让方：惠州市仲恺高新区国土资源分局</w:t>
      </w:r>
    </w:p>
    <w:p>
      <w:pPr>
        <w:keepNext w:val="0"/>
        <w:keepLines w:val="0"/>
        <w:pageBreakBefore w:val="0"/>
        <w:kinsoku/>
        <w:wordWrap/>
        <w:overflowPunct/>
        <w:topLinePunct w:val="0"/>
        <w:autoSpaceDE/>
        <w:autoSpaceDN/>
        <w:bidi w:val="0"/>
        <w:spacing w:line="520" w:lineRule="exact"/>
        <w:ind w:right="640" w:firstLine="640" w:firstLineChars="200"/>
        <w:textAlignment w:val="auto"/>
        <w:rPr>
          <w:rFonts w:hint="eastAsia" w:ascii="仿宋_GB2312" w:hAnsi="仿宋_GB2312" w:eastAsia="仿宋_GB2312" w:cs="仿宋_GB2312"/>
          <w:b w:val="0"/>
          <w:bCs w:val="0"/>
          <w:color w:val="auto"/>
          <w:sz w:val="32"/>
          <w:szCs w:val="32"/>
          <w:highlight w:val="none"/>
          <w:u w:val="single"/>
        </w:rPr>
      </w:pPr>
      <w:r>
        <w:rPr>
          <w:rFonts w:hint="eastAsia" w:ascii="仿宋_GB2312" w:hAnsi="仿宋_GB2312" w:eastAsia="仿宋_GB2312" w:cs="仿宋_GB2312"/>
          <w:b w:val="0"/>
          <w:bCs w:val="0"/>
          <w:color w:val="auto"/>
          <w:sz w:val="32"/>
          <w:szCs w:val="32"/>
          <w:highlight w:val="none"/>
        </w:rPr>
        <w:t>联系地址：广东省惠州市仲恺高新区和畅五路人才服务大厦5楼</w:t>
      </w:r>
    </w:p>
    <w:p>
      <w:pPr>
        <w:keepNext w:val="0"/>
        <w:keepLines w:val="0"/>
        <w:pageBreakBefore w:val="0"/>
        <w:kinsoku/>
        <w:wordWrap/>
        <w:overflowPunct/>
        <w:topLinePunct w:val="0"/>
        <w:autoSpaceDE/>
        <w:autoSpaceDN/>
        <w:bidi w:val="0"/>
        <w:spacing w:line="520" w:lineRule="exact"/>
        <w:ind w:right="640" w:firstLine="640" w:firstLineChars="200"/>
        <w:textAlignment w:val="auto"/>
        <w:rPr>
          <w:rFonts w:hint="eastAsia" w:ascii="仿宋_GB2312" w:hAnsi="仿宋_GB2312" w:eastAsia="仿宋_GB2312" w:cs="仿宋_GB2312"/>
          <w:b w:val="0"/>
          <w:bCs w:val="0"/>
          <w:color w:val="auto"/>
          <w:sz w:val="32"/>
          <w:szCs w:val="32"/>
          <w:highlight w:val="none"/>
          <w:u w:val="single"/>
          <w:lang w:val="en-US" w:eastAsia="zh-CN"/>
        </w:rPr>
      </w:pPr>
      <w:r>
        <w:rPr>
          <w:rFonts w:hint="eastAsia" w:ascii="仿宋_GB2312" w:hAnsi="仿宋_GB2312" w:eastAsia="仿宋_GB2312" w:cs="仿宋_GB2312"/>
          <w:b w:val="0"/>
          <w:bCs w:val="0"/>
          <w:color w:val="auto"/>
          <w:sz w:val="32"/>
          <w:szCs w:val="32"/>
          <w:highlight w:val="none"/>
        </w:rPr>
        <w:t>联系人：</w:t>
      </w:r>
      <w:r>
        <w:rPr>
          <w:rFonts w:hint="eastAsia" w:ascii="仿宋_GB2312" w:hAnsi="仿宋_GB2312" w:eastAsia="仿宋_GB2312" w:cs="仿宋_GB2312"/>
          <w:b w:val="0"/>
          <w:bCs w:val="0"/>
          <w:color w:val="auto"/>
          <w:sz w:val="32"/>
          <w:szCs w:val="32"/>
          <w:highlight w:val="none"/>
          <w:lang w:val="en-US" w:eastAsia="zh-CN"/>
        </w:rPr>
        <w:t>欧阳志峰</w:t>
      </w:r>
    </w:p>
    <w:p>
      <w:pPr>
        <w:keepNext w:val="0"/>
        <w:keepLines w:val="0"/>
        <w:pageBreakBefore w:val="0"/>
        <w:kinsoku/>
        <w:wordWrap/>
        <w:overflowPunct/>
        <w:topLinePunct w:val="0"/>
        <w:autoSpaceDE/>
        <w:autoSpaceDN/>
        <w:bidi w:val="0"/>
        <w:spacing w:line="520" w:lineRule="exact"/>
        <w:ind w:right="64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联系电话：</w:t>
      </w:r>
      <w:r>
        <w:rPr>
          <w:rFonts w:hint="eastAsia" w:ascii="仿宋_GB2312" w:hAnsi="仿宋_GB2312" w:eastAsia="仿宋_GB2312" w:cs="仿宋_GB2312"/>
          <w:b w:val="0"/>
          <w:bCs w:val="0"/>
          <w:color w:val="auto"/>
          <w:sz w:val="32"/>
          <w:szCs w:val="32"/>
          <w:highlight w:val="none"/>
          <w:lang w:val="en-US" w:eastAsia="en-US"/>
        </w:rPr>
        <w:t>0752-3271601</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交易机构：惠州市公共资源交易中心</w:t>
      </w:r>
      <w:r>
        <w:rPr>
          <w:rFonts w:hint="eastAsia" w:ascii="仿宋_GB2312" w:hAnsi="仿宋_GB2312" w:eastAsia="仿宋_GB2312" w:cs="仿宋_GB2312"/>
          <w:b w:val="0"/>
          <w:bCs w:val="0"/>
          <w:color w:val="auto"/>
          <w:sz w:val="32"/>
          <w:szCs w:val="32"/>
          <w:highlight w:val="none"/>
          <w:lang w:eastAsia="zh-CN"/>
        </w:rPr>
        <w:t>仲恺</w:t>
      </w:r>
      <w:r>
        <w:rPr>
          <w:rFonts w:hint="eastAsia" w:ascii="仿宋_GB2312" w:hAnsi="仿宋_GB2312" w:eastAsia="仿宋_GB2312" w:cs="仿宋_GB2312"/>
          <w:b w:val="0"/>
          <w:bCs w:val="0"/>
          <w:color w:val="auto"/>
          <w:sz w:val="32"/>
          <w:szCs w:val="32"/>
          <w:highlight w:val="none"/>
        </w:rPr>
        <w:t>分中心</w:t>
      </w:r>
    </w:p>
    <w:p>
      <w:pPr>
        <w:pStyle w:val="24"/>
        <w:keepNext w:val="0"/>
        <w:keepLines w:val="0"/>
        <w:pageBreakBefore w:val="0"/>
        <w:widowControl w:val="0"/>
        <w:kinsoku/>
        <w:wordWrap/>
        <w:overflowPunct/>
        <w:topLinePunct w:val="0"/>
        <w:autoSpaceDE/>
        <w:autoSpaceDN/>
        <w:bidi w:val="0"/>
        <w:spacing w:line="52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rPr>
        <w:t>联系地址：</w:t>
      </w:r>
      <w:r>
        <w:rPr>
          <w:rFonts w:hint="eastAsia" w:ascii="仿宋_GB2312" w:hAnsi="仿宋_GB2312" w:eastAsia="仿宋_GB2312" w:cs="仿宋_GB2312"/>
          <w:b w:val="0"/>
          <w:bCs w:val="0"/>
          <w:color w:val="auto"/>
          <w:kern w:val="0"/>
          <w:sz w:val="32"/>
          <w:szCs w:val="32"/>
          <w:highlight w:val="none"/>
        </w:rPr>
        <w:t>广东省惠州市仲恺高新区和畅五路人才服务</w:t>
      </w:r>
    </w:p>
    <w:p>
      <w:pPr>
        <w:pStyle w:val="24"/>
        <w:keepNext w:val="0"/>
        <w:keepLines w:val="0"/>
        <w:pageBreakBefore w:val="0"/>
        <w:widowControl w:val="0"/>
        <w:kinsoku/>
        <w:wordWrap/>
        <w:overflowPunct/>
        <w:topLinePunct w:val="0"/>
        <w:autoSpaceDE/>
        <w:autoSpaceDN/>
        <w:bidi w:val="0"/>
        <w:spacing w:line="520" w:lineRule="exact"/>
        <w:ind w:firstLine="2240" w:firstLineChars="700"/>
        <w:jc w:val="left"/>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kern w:val="0"/>
          <w:sz w:val="32"/>
          <w:szCs w:val="32"/>
          <w:highlight w:val="none"/>
        </w:rPr>
        <w:t>大厦10楼</w:t>
      </w:r>
    </w:p>
    <w:p>
      <w:pPr>
        <w:pStyle w:val="24"/>
        <w:keepNext w:val="0"/>
        <w:keepLines w:val="0"/>
        <w:pageBreakBefore w:val="0"/>
        <w:widowControl w:val="0"/>
        <w:kinsoku/>
        <w:wordWrap/>
        <w:overflowPunct/>
        <w:topLinePunct w:val="0"/>
        <w:autoSpaceDE/>
        <w:autoSpaceDN/>
        <w:bidi w:val="0"/>
        <w:spacing w:line="520" w:lineRule="exact"/>
        <w:ind w:firstLine="640" w:firstLineChars="200"/>
        <w:jc w:val="left"/>
        <w:textAlignment w:val="auto"/>
        <w:outlineLvl w:val="9"/>
        <w:rPr>
          <w:rFonts w:hint="eastAsia" w:ascii="仿宋_GB2312" w:hAnsi="仿宋_GB2312" w:eastAsia="仿宋_GB2312" w:cs="仿宋_GB2312"/>
          <w:b w:val="0"/>
          <w:bCs w:val="0"/>
          <w:color w:val="auto"/>
          <w:sz w:val="32"/>
          <w:szCs w:val="32"/>
          <w:highlight w:val="none"/>
          <w:u w:val="single"/>
        </w:rPr>
      </w:pPr>
      <w:r>
        <w:rPr>
          <w:rFonts w:hint="eastAsia" w:ascii="仿宋_GB2312" w:hAnsi="仿宋_GB2312" w:eastAsia="仿宋_GB2312" w:cs="仿宋_GB2312"/>
          <w:b w:val="0"/>
          <w:bCs w:val="0"/>
          <w:color w:val="auto"/>
          <w:sz w:val="32"/>
          <w:szCs w:val="32"/>
          <w:highlight w:val="none"/>
        </w:rPr>
        <w:t>联系人：</w:t>
      </w:r>
      <w:r>
        <w:rPr>
          <w:rFonts w:hint="eastAsia" w:ascii="仿宋_GB2312" w:hAnsi="仿宋_GB2312" w:eastAsia="仿宋_GB2312" w:cs="仿宋_GB2312"/>
          <w:b w:val="0"/>
          <w:bCs w:val="0"/>
          <w:color w:val="auto"/>
          <w:kern w:val="0"/>
          <w:sz w:val="32"/>
          <w:szCs w:val="32"/>
          <w:highlight w:val="none"/>
        </w:rPr>
        <w:t>汪</w:t>
      </w:r>
      <w:r>
        <w:rPr>
          <w:rFonts w:hint="eastAsia" w:ascii="仿宋_GB2312" w:hAnsi="仿宋_GB2312" w:eastAsia="仿宋_GB2312" w:cs="仿宋_GB2312"/>
          <w:b w:val="0"/>
          <w:bCs w:val="0"/>
          <w:color w:val="auto"/>
          <w:kern w:val="0"/>
          <w:sz w:val="32"/>
          <w:szCs w:val="32"/>
          <w:highlight w:val="none"/>
          <w:lang w:val="en-US" w:eastAsia="zh-CN"/>
        </w:rPr>
        <w:t>鑫</w:t>
      </w:r>
      <w:r>
        <w:rPr>
          <w:rFonts w:hint="eastAsia" w:ascii="仿宋_GB2312" w:hAnsi="仿宋_GB2312" w:eastAsia="仿宋_GB2312" w:cs="仿宋_GB2312"/>
          <w:b w:val="0"/>
          <w:bCs w:val="0"/>
          <w:color w:val="auto"/>
          <w:kern w:val="0"/>
          <w:sz w:val="32"/>
          <w:szCs w:val="32"/>
          <w:highlight w:val="none"/>
        </w:rPr>
        <w:t xml:space="preserve"> </w:t>
      </w:r>
      <w:r>
        <w:rPr>
          <w:rFonts w:hint="eastAsia" w:ascii="仿宋_GB2312" w:hAnsi="仿宋_GB2312" w:eastAsia="仿宋_GB2312" w:cs="仿宋_GB2312"/>
          <w:b w:val="0"/>
          <w:bCs w:val="0"/>
          <w:color w:val="auto"/>
          <w:kern w:val="0"/>
          <w:sz w:val="32"/>
          <w:szCs w:val="32"/>
          <w:highlight w:val="none"/>
          <w:lang w:val="en-US" w:eastAsia="zh-CN"/>
        </w:rPr>
        <w:t>欧阳海棠</w:t>
      </w:r>
    </w:p>
    <w:p>
      <w:pPr>
        <w:pStyle w:val="24"/>
        <w:keepNext w:val="0"/>
        <w:keepLines w:val="0"/>
        <w:pageBreakBefore w:val="0"/>
        <w:widowControl w:val="0"/>
        <w:kinsoku/>
        <w:wordWrap/>
        <w:overflowPunct/>
        <w:topLinePunct w:val="0"/>
        <w:autoSpaceDE/>
        <w:autoSpaceDN/>
        <w:bidi w:val="0"/>
        <w:spacing w:line="520" w:lineRule="exact"/>
        <w:ind w:firstLine="640" w:firstLineChars="200"/>
        <w:jc w:val="left"/>
        <w:textAlignment w:val="auto"/>
        <w:outlineLvl w:val="9"/>
        <w:rPr>
          <w:rFonts w:hint="eastAsia" w:ascii="仿宋_GB2312" w:hAnsi="仿宋_GB2312" w:eastAsia="仿宋_GB2312" w:cs="仿宋_GB2312"/>
          <w:b w:val="0"/>
          <w:bCs w:val="0"/>
          <w:color w:val="auto"/>
          <w:sz w:val="32"/>
          <w:szCs w:val="32"/>
          <w:highlight w:val="none"/>
          <w:u w:val="single"/>
          <w:lang w:val="en-US"/>
        </w:rPr>
      </w:pPr>
      <w:r>
        <w:rPr>
          <w:rFonts w:hint="eastAsia" w:ascii="仿宋_GB2312" w:hAnsi="仿宋_GB2312" w:eastAsia="仿宋_GB2312" w:cs="仿宋_GB2312"/>
          <w:b w:val="0"/>
          <w:bCs w:val="0"/>
          <w:color w:val="auto"/>
          <w:sz w:val="32"/>
          <w:szCs w:val="32"/>
          <w:highlight w:val="none"/>
        </w:rPr>
        <w:t>联系电话：</w:t>
      </w:r>
      <w:r>
        <w:rPr>
          <w:rFonts w:hint="eastAsia" w:ascii="仿宋_GB2312" w:hAnsi="仿宋_GB2312" w:eastAsia="仿宋_GB2312" w:cs="仿宋_GB2312"/>
          <w:b w:val="0"/>
          <w:bCs w:val="0"/>
          <w:color w:val="auto"/>
          <w:kern w:val="0"/>
          <w:sz w:val="32"/>
          <w:szCs w:val="32"/>
          <w:highlight w:val="none"/>
        </w:rPr>
        <w:t>0752-</w:t>
      </w:r>
      <w:r>
        <w:rPr>
          <w:rFonts w:hint="eastAsia" w:ascii="仿宋_GB2312" w:hAnsi="仿宋_GB2312" w:eastAsia="仿宋_GB2312" w:cs="仿宋_GB2312"/>
          <w:b w:val="0"/>
          <w:bCs w:val="0"/>
          <w:color w:val="auto"/>
          <w:kern w:val="0"/>
          <w:sz w:val="32"/>
          <w:szCs w:val="32"/>
          <w:highlight w:val="none"/>
          <w:lang w:val="en-US" w:eastAsia="zh-CN"/>
        </w:rPr>
        <w:t>3278419</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注：本公告同时在下列网站及场所发布</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中国土地市场网: http://www.landchina.com</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惠州市公共资源交易中心网：</w:t>
      </w:r>
      <w:r>
        <w:rPr>
          <w:rFonts w:hint="eastAsia" w:ascii="仿宋_GB2312" w:hAnsi="仿宋_GB2312" w:eastAsia="仿宋_GB2312" w:cs="仿宋_GB2312"/>
          <w:b w:val="0"/>
          <w:bCs w:val="0"/>
          <w:color w:val="auto"/>
          <w:sz w:val="32"/>
          <w:szCs w:val="32"/>
          <w:highlight w:val="none"/>
          <w:u w:val="none"/>
        </w:rPr>
        <w:t>http://zyjy.huizhou.gov.cn</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惠州</w:t>
      </w:r>
      <w:r>
        <w:rPr>
          <w:rFonts w:hint="eastAsia" w:ascii="仿宋_GB2312" w:hAnsi="仿宋_GB2312" w:eastAsia="仿宋_GB2312" w:cs="仿宋_GB2312"/>
          <w:b w:val="0"/>
          <w:bCs w:val="0"/>
          <w:color w:val="auto"/>
          <w:sz w:val="32"/>
          <w:szCs w:val="32"/>
          <w:highlight w:val="none"/>
          <w:lang w:eastAsia="zh-CN"/>
        </w:rPr>
        <w:t>市</w:t>
      </w:r>
      <w:r>
        <w:rPr>
          <w:rFonts w:hint="eastAsia" w:ascii="仿宋_GB2312" w:hAnsi="仿宋_GB2312" w:eastAsia="仿宋_GB2312" w:cs="仿宋_GB2312"/>
          <w:b w:val="0"/>
          <w:bCs w:val="0"/>
          <w:color w:val="auto"/>
          <w:sz w:val="32"/>
          <w:szCs w:val="32"/>
          <w:highlight w:val="none"/>
        </w:rPr>
        <w:t>公共资源交易中心</w:t>
      </w:r>
      <w:r>
        <w:rPr>
          <w:rFonts w:hint="eastAsia" w:ascii="仿宋_GB2312" w:hAnsi="仿宋_GB2312" w:eastAsia="仿宋_GB2312" w:cs="仿宋_GB2312"/>
          <w:b w:val="0"/>
          <w:bCs w:val="0"/>
          <w:color w:val="auto"/>
          <w:sz w:val="32"/>
          <w:szCs w:val="32"/>
          <w:highlight w:val="none"/>
          <w:lang w:eastAsia="zh-CN"/>
        </w:rPr>
        <w:t>仲恺分中心</w:t>
      </w:r>
      <w:r>
        <w:rPr>
          <w:rFonts w:hint="eastAsia" w:ascii="仿宋_GB2312" w:hAnsi="仿宋_GB2312" w:eastAsia="仿宋_GB2312" w:cs="仿宋_GB2312"/>
          <w:b w:val="0"/>
          <w:bCs w:val="0"/>
          <w:color w:val="auto"/>
          <w:sz w:val="32"/>
          <w:szCs w:val="32"/>
          <w:highlight w:val="none"/>
        </w:rPr>
        <w:t>网站</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u w:val="none"/>
          <w:lang w:eastAsia="zh-CN"/>
        </w:rPr>
        <w:t>http://www.hzzk.gov.cn/gwhbm/hzsggzyjyzxzzfzx/index.html</w:t>
      </w:r>
    </w:p>
    <w:p>
      <w:pPr>
        <w:pStyle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惠州市仲恺高新区国土资源分局网站：</w:t>
      </w:r>
      <w:r>
        <w:rPr>
          <w:rFonts w:hint="eastAsia" w:ascii="仿宋_GB2312" w:hAnsi="仿宋_GB2312" w:eastAsia="仿宋_GB2312" w:cs="仿宋_GB2312"/>
          <w:color w:val="auto"/>
          <w:u w:val="none"/>
          <w:lang w:val="en-US" w:eastAsia="zh-CN"/>
        </w:rPr>
        <w:t>http://www.hzzk.gov.cn/gwhbm/zzgxqgtzyfj/</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惠州</w:t>
      </w:r>
      <w:r>
        <w:rPr>
          <w:rFonts w:hint="eastAsia" w:ascii="仿宋_GB2312" w:hAnsi="仿宋_GB2312" w:eastAsia="仿宋_GB2312" w:cs="仿宋_GB2312"/>
          <w:b w:val="0"/>
          <w:bCs w:val="0"/>
          <w:color w:val="auto"/>
          <w:sz w:val="32"/>
          <w:szCs w:val="32"/>
          <w:highlight w:val="none"/>
          <w:lang w:eastAsia="zh-CN"/>
        </w:rPr>
        <w:t>市</w:t>
      </w:r>
      <w:r>
        <w:rPr>
          <w:rFonts w:hint="eastAsia" w:ascii="仿宋_GB2312" w:hAnsi="仿宋_GB2312" w:eastAsia="仿宋_GB2312" w:cs="仿宋_GB2312"/>
          <w:b w:val="0"/>
          <w:bCs w:val="0"/>
          <w:color w:val="auto"/>
          <w:sz w:val="32"/>
          <w:szCs w:val="32"/>
          <w:highlight w:val="none"/>
        </w:rPr>
        <w:t>公共资源交易中心</w:t>
      </w:r>
      <w:r>
        <w:rPr>
          <w:rFonts w:hint="eastAsia" w:ascii="仿宋_GB2312" w:hAnsi="仿宋_GB2312" w:eastAsia="仿宋_GB2312" w:cs="仿宋_GB2312"/>
          <w:b w:val="0"/>
          <w:bCs w:val="0"/>
          <w:color w:val="auto"/>
          <w:sz w:val="32"/>
          <w:szCs w:val="32"/>
          <w:highlight w:val="none"/>
          <w:lang w:eastAsia="zh-CN"/>
        </w:rPr>
        <w:t>仲恺分中心</w:t>
      </w:r>
      <w:r>
        <w:rPr>
          <w:rFonts w:hint="eastAsia" w:ascii="仿宋_GB2312" w:hAnsi="仿宋_GB2312" w:eastAsia="仿宋_GB2312" w:cs="仿宋_GB2312"/>
          <w:b w:val="0"/>
          <w:bCs w:val="0"/>
          <w:color w:val="auto"/>
          <w:sz w:val="32"/>
          <w:szCs w:val="32"/>
          <w:highlight w:val="none"/>
        </w:rPr>
        <w:t>服务大厅电子屏幕。</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数字证书办理地址：广东省惠州市惠城区三新北路31号市民服务中心3号楼惠州市公共资源交易中心一楼大厅1号土地与矿业交易窗口。</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联系人：罗工</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联系电话：0752-7121029</w:t>
      </w:r>
    </w:p>
    <w:p>
      <w:pPr>
        <w:pStyle w:val="5"/>
        <w:keepNext w:val="0"/>
        <w:keepLines w:val="0"/>
        <w:pageBreakBefore w:val="0"/>
        <w:kinsoku/>
        <w:wordWrap/>
        <w:overflowPunct/>
        <w:topLinePunct w:val="0"/>
        <w:autoSpaceDE/>
        <w:autoSpaceDN/>
        <w:bidi w:val="0"/>
        <w:spacing w:line="520" w:lineRule="exact"/>
        <w:ind w:left="0" w:leftChars="0" w:firstLine="0" w:firstLineChars="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kinsoku/>
        <w:wordWrap/>
        <w:overflowPunct/>
        <w:topLinePunct w:val="0"/>
        <w:autoSpaceDE/>
        <w:autoSpaceDN/>
        <w:bidi w:val="0"/>
        <w:spacing w:line="520" w:lineRule="exact"/>
        <w:jc w:val="right"/>
        <w:textAlignment w:val="auto"/>
        <w:rPr>
          <w:rFonts w:hint="eastAsia" w:ascii="Times New Roman" w:hAnsi="Times New Roman" w:eastAsia="仿宋_GB2312" w:cs="仿宋_GB2312"/>
          <w:b w:val="0"/>
          <w:bCs w:val="0"/>
          <w:color w:val="auto"/>
          <w:sz w:val="32"/>
          <w:szCs w:val="32"/>
          <w:highlight w:val="none"/>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b w:val="0"/>
          <w:bCs w:val="0"/>
          <w:color w:val="auto"/>
          <w:sz w:val="32"/>
          <w:szCs w:val="32"/>
          <w:highlight w:val="none"/>
          <w:lang w:val="en-US" w:eastAsia="zh-CN"/>
        </w:rPr>
        <w:t xml:space="preserve">                 惠州市仲恺高新区国土资源分局                                       2022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u w:val="none"/>
          <w:lang w:val="en-US" w:eastAsia="zh-CN"/>
        </w:rPr>
        <w:t>11</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17</w:t>
      </w:r>
      <w:r>
        <w:rPr>
          <w:rFonts w:hint="eastAsia" w:ascii="仿宋_GB2312" w:hAnsi="仿宋_GB2312" w:eastAsia="仿宋_GB2312" w:cs="仿宋_GB2312"/>
          <w:b w:val="0"/>
          <w:bCs w:val="0"/>
          <w:color w:val="auto"/>
          <w:sz w:val="32"/>
          <w:szCs w:val="32"/>
          <w:highlight w:val="none"/>
          <w:u w:val="none"/>
          <w:lang w:val="en-US" w:eastAsia="zh-CN"/>
        </w:rPr>
        <w:t>日</w:t>
      </w:r>
    </w:p>
    <w:p>
      <w:pPr>
        <w:pStyle w:val="32"/>
        <w:keepNext w:val="0"/>
        <w:keepLines w:val="0"/>
        <w:widowControl w:val="0"/>
        <w:shd w:val="clear" w:color="auto" w:fill="auto"/>
        <w:bidi w:val="0"/>
        <w:spacing w:before="0" w:after="260" w:line="240" w:lineRule="auto"/>
        <w:ind w:left="0" w:leftChars="0" w:right="0" w:firstLine="0" w:firstLineChars="0"/>
        <w:jc w:val="left"/>
        <w:rPr>
          <w:rFonts w:ascii="Times New Roman" w:hAnsi="Times New Roman"/>
        </w:rPr>
      </w:pPr>
      <w:r>
        <w:rPr>
          <w:rFonts w:ascii="Times New Roman" w:hAnsi="Times New Roman"/>
          <w:color w:val="000000"/>
          <w:spacing w:val="0"/>
          <w:w w:val="100"/>
          <w:position w:val="0"/>
        </w:rPr>
        <w:t>附表:</w:t>
      </w:r>
    </w:p>
    <w:p>
      <w:pPr>
        <w:pStyle w:val="33"/>
        <w:keepNext w:val="0"/>
        <w:keepLines w:val="0"/>
        <w:widowControl w:val="0"/>
        <w:shd w:val="clear" w:color="auto" w:fill="auto"/>
        <w:bidi w:val="0"/>
        <w:spacing w:before="0" w:after="0" w:line="240" w:lineRule="auto"/>
        <w:ind w:right="0"/>
        <w:jc w:val="center"/>
        <w:rPr>
          <w:rFonts w:hint="eastAsia" w:ascii="Times New Roman" w:hAnsi="Times New Roman" w:eastAsia="方正小标宋_GBK" w:cs="方正小标宋_GBK"/>
          <w:color w:val="000000"/>
          <w:spacing w:val="0"/>
          <w:w w:val="100"/>
          <w:position w:val="0"/>
          <w:sz w:val="44"/>
          <w:szCs w:val="44"/>
        </w:rPr>
      </w:pPr>
      <w:r>
        <w:rPr>
          <w:rFonts w:hint="eastAsia" w:ascii="Times New Roman" w:hAnsi="Times New Roman" w:eastAsia="方正小标宋_GBK" w:cs="方正小标宋_GBK"/>
          <w:color w:val="000000"/>
          <w:spacing w:val="0"/>
          <w:w w:val="100"/>
          <w:position w:val="0"/>
          <w:sz w:val="44"/>
          <w:szCs w:val="44"/>
        </w:rPr>
        <w:t>网上挂牌出让地块基本情况及规划建设指标</w:t>
      </w:r>
    </w:p>
    <w:p>
      <w:pPr>
        <w:pStyle w:val="33"/>
        <w:keepNext w:val="0"/>
        <w:keepLines w:val="0"/>
        <w:widowControl w:val="0"/>
        <w:shd w:val="clear" w:color="auto" w:fill="auto"/>
        <w:bidi w:val="0"/>
        <w:spacing w:before="0" w:after="0" w:line="240" w:lineRule="auto"/>
        <w:ind w:right="0"/>
        <w:jc w:val="center"/>
        <w:rPr>
          <w:rFonts w:ascii="Times New Roman" w:hAnsi="Times New Roman"/>
          <w:color w:val="000000"/>
          <w:spacing w:val="0"/>
          <w:w w:val="100"/>
          <w:position w:val="0"/>
        </w:rPr>
      </w:pPr>
    </w:p>
    <w:tbl>
      <w:tblPr>
        <w:tblStyle w:val="10"/>
        <w:tblW w:w="15612" w:type="dxa"/>
        <w:jc w:val="center"/>
        <w:tblLayout w:type="fixed"/>
        <w:tblCellMar>
          <w:top w:w="0" w:type="dxa"/>
          <w:left w:w="10" w:type="dxa"/>
          <w:bottom w:w="0" w:type="dxa"/>
          <w:right w:w="10" w:type="dxa"/>
        </w:tblCellMar>
      </w:tblPr>
      <w:tblGrid>
        <w:gridCol w:w="642"/>
        <w:gridCol w:w="630"/>
        <w:gridCol w:w="1140"/>
        <w:gridCol w:w="516"/>
        <w:gridCol w:w="1116"/>
        <w:gridCol w:w="936"/>
        <w:gridCol w:w="708"/>
        <w:gridCol w:w="852"/>
        <w:gridCol w:w="1740"/>
        <w:gridCol w:w="678"/>
        <w:gridCol w:w="1685"/>
        <w:gridCol w:w="647"/>
        <w:gridCol w:w="698"/>
        <w:gridCol w:w="864"/>
        <w:gridCol w:w="840"/>
        <w:gridCol w:w="1056"/>
        <w:gridCol w:w="864"/>
      </w:tblGrid>
      <w:tr>
        <w:tblPrEx>
          <w:tblCellMar>
            <w:top w:w="0" w:type="dxa"/>
            <w:left w:w="10" w:type="dxa"/>
            <w:bottom w:w="0" w:type="dxa"/>
            <w:right w:w="10" w:type="dxa"/>
          </w:tblCellMar>
        </w:tblPrEx>
        <w:trPr>
          <w:trHeight w:val="432" w:hRule="exact"/>
          <w:jc w:val="center"/>
        </w:trPr>
        <w:tc>
          <w:tcPr>
            <w:tcW w:w="642" w:type="dxa"/>
            <w:vMerge w:val="restart"/>
            <w:tcBorders>
              <w:top w:val="single" w:color="auto" w:sz="4" w:space="0"/>
              <w:left w:val="single" w:color="auto" w:sz="4" w:space="0"/>
            </w:tcBorders>
            <w:shd w:val="clear" w:color="auto" w:fill="FFFFFF"/>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Times New Roman" w:hAnsi="Times New Roman"/>
                <w:sz w:val="22"/>
                <w:szCs w:val="22"/>
              </w:rPr>
            </w:pPr>
            <w:r>
              <w:rPr>
                <w:rFonts w:ascii="Times New Roman" w:hAnsi="Times New Roman"/>
                <w:color w:val="000000"/>
                <w:spacing w:val="0"/>
                <w:w w:val="100"/>
                <w:position w:val="0"/>
                <w:sz w:val="22"/>
                <w:szCs w:val="22"/>
              </w:rPr>
              <w:t>挂牌地块编号</w:t>
            </w:r>
          </w:p>
        </w:tc>
        <w:tc>
          <w:tcPr>
            <w:tcW w:w="630" w:type="dxa"/>
            <w:vMerge w:val="restart"/>
            <w:tcBorders>
              <w:top w:val="single" w:color="auto" w:sz="4" w:space="0"/>
              <w:left w:val="single" w:color="auto" w:sz="4" w:space="0"/>
            </w:tcBorders>
            <w:shd w:val="clear" w:color="auto" w:fill="FFFFFF"/>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Times New Roman" w:hAnsi="Times New Roman" w:eastAsia="宋体" w:cs="宋体"/>
                <w:color w:val="000000"/>
                <w:spacing w:val="0"/>
                <w:w w:val="100"/>
                <w:position w:val="0"/>
                <w:sz w:val="22"/>
                <w:szCs w:val="22"/>
              </w:rPr>
            </w:pPr>
            <w:r>
              <w:rPr>
                <w:rFonts w:ascii="Times New Roman" w:hAnsi="Times New Roman" w:eastAsia="宋体" w:cs="宋体"/>
                <w:color w:val="000000"/>
                <w:spacing w:val="0"/>
                <w:w w:val="100"/>
                <w:position w:val="0"/>
                <w:sz w:val="22"/>
                <w:szCs w:val="22"/>
              </w:rPr>
              <w:t>土地位置</w:t>
            </w:r>
          </w:p>
        </w:tc>
        <w:tc>
          <w:tcPr>
            <w:tcW w:w="1140" w:type="dxa"/>
            <w:vMerge w:val="restart"/>
            <w:tcBorders>
              <w:top w:val="single" w:color="auto" w:sz="4" w:space="0"/>
              <w:left w:val="single" w:color="auto" w:sz="4" w:space="0"/>
            </w:tcBorders>
            <w:shd w:val="clear" w:color="auto" w:fill="FFFFFF"/>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r>
              <w:rPr>
                <w:rFonts w:ascii="Times New Roman" w:hAnsi="Times New Roman" w:eastAsia="宋体" w:cs="宋体"/>
                <w:color w:val="000000"/>
                <w:spacing w:val="0"/>
                <w:w w:val="100"/>
                <w:position w:val="0"/>
                <w:sz w:val="22"/>
                <w:szCs w:val="22"/>
              </w:rPr>
              <w:t>用地编</w:t>
            </w:r>
            <w:r>
              <w:rPr>
                <w:rFonts w:hint="eastAsia" w:ascii="Times New Roman" w:hAnsi="Times New Roman" w:eastAsia="宋体" w:cs="宋体"/>
                <w:color w:val="000000"/>
                <w:spacing w:val="0"/>
                <w:w w:val="100"/>
                <w:position w:val="0"/>
                <w:sz w:val="22"/>
                <w:szCs w:val="22"/>
                <w:lang w:val="en-US" w:eastAsia="zh-CN"/>
              </w:rPr>
              <w:t>号</w:t>
            </w:r>
          </w:p>
        </w:tc>
        <w:tc>
          <w:tcPr>
            <w:tcW w:w="516" w:type="dxa"/>
            <w:vMerge w:val="restart"/>
            <w:tcBorders>
              <w:top w:val="single" w:color="auto" w:sz="4" w:space="0"/>
              <w:left w:val="single" w:color="auto" w:sz="4" w:space="0"/>
            </w:tcBorders>
            <w:shd w:val="clear" w:color="auto" w:fill="FFFFFF"/>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Times New Roman" w:hAnsi="Times New Roman" w:eastAsia="宋体" w:cs="宋体"/>
                <w:color w:val="000000"/>
                <w:spacing w:val="0"/>
                <w:w w:val="100"/>
                <w:position w:val="0"/>
                <w:sz w:val="22"/>
                <w:szCs w:val="22"/>
              </w:rPr>
            </w:pPr>
            <w:r>
              <w:rPr>
                <w:rFonts w:hint="eastAsia" w:ascii="Times New Roman" w:hAnsi="Times New Roman" w:eastAsia="宋体" w:cs="宋体"/>
                <w:color w:val="000000"/>
                <w:spacing w:val="0"/>
                <w:w w:val="100"/>
                <w:position w:val="0"/>
                <w:sz w:val="22"/>
                <w:szCs w:val="22"/>
                <w:lang w:val="en-US" w:eastAsia="zh-CN"/>
              </w:rPr>
              <w:t>土</w:t>
            </w:r>
            <w:r>
              <w:rPr>
                <w:rFonts w:ascii="Times New Roman" w:hAnsi="Times New Roman" w:eastAsia="宋体" w:cs="宋体"/>
                <w:color w:val="000000"/>
                <w:spacing w:val="0"/>
                <w:w w:val="100"/>
                <w:position w:val="0"/>
                <w:sz w:val="22"/>
                <w:szCs w:val="22"/>
              </w:rPr>
              <w:t>地用途</w:t>
            </w:r>
          </w:p>
        </w:tc>
        <w:tc>
          <w:tcPr>
            <w:tcW w:w="8362" w:type="dxa"/>
            <w:gridSpan w:val="8"/>
            <w:tcBorders>
              <w:top w:val="single" w:color="auto" w:sz="4" w:space="0"/>
              <w:left w:val="single" w:color="auto" w:sz="4" w:space="0"/>
            </w:tcBorders>
            <w:shd w:val="clear" w:color="auto" w:fill="FFFFFF"/>
            <w:vAlign w:val="bottom"/>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Times New Roman" w:hAnsi="Times New Roman" w:eastAsia="宋体" w:cs="宋体"/>
                <w:color w:val="000000"/>
                <w:spacing w:val="0"/>
                <w:w w:val="100"/>
                <w:position w:val="0"/>
                <w:sz w:val="22"/>
                <w:szCs w:val="22"/>
              </w:rPr>
            </w:pPr>
            <w:r>
              <w:rPr>
                <w:rFonts w:ascii="Times New Roman" w:hAnsi="Times New Roman" w:eastAsia="宋体" w:cs="宋体"/>
                <w:color w:val="000000"/>
                <w:spacing w:val="0"/>
                <w:w w:val="100"/>
                <w:position w:val="0"/>
                <w:sz w:val="22"/>
                <w:szCs w:val="22"/>
              </w:rPr>
              <w:t>规划指标要求</w:t>
            </w:r>
          </w:p>
        </w:tc>
        <w:tc>
          <w:tcPr>
            <w:tcW w:w="698" w:type="dxa"/>
            <w:vMerge w:val="restart"/>
            <w:tcBorders>
              <w:top w:val="single" w:color="auto" w:sz="4" w:space="0"/>
              <w:left w:val="single" w:color="auto" w:sz="4" w:space="0"/>
              <w:right w:val="single" w:color="auto" w:sz="4" w:space="0"/>
            </w:tcBorders>
            <w:shd w:val="clear" w:color="auto" w:fill="FFFFFF"/>
            <w:vAlign w:val="top"/>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r>
              <w:rPr>
                <w:rFonts w:hint="eastAsia" w:ascii="Times New Roman" w:hAnsi="Times New Roman" w:eastAsia="宋体" w:cs="宋体"/>
                <w:color w:val="000000"/>
                <w:spacing w:val="0"/>
                <w:w w:val="100"/>
                <w:position w:val="0"/>
                <w:sz w:val="22"/>
                <w:szCs w:val="22"/>
                <w:lang w:val="en-US" w:eastAsia="zh-CN"/>
              </w:rPr>
              <w:t>出让</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宋体"/>
                <w:color w:val="000000"/>
                <w:spacing w:val="0"/>
                <w:w w:val="100"/>
                <w:position w:val="0"/>
                <w:sz w:val="22"/>
                <w:szCs w:val="22"/>
                <w:lang w:val="en-US" w:eastAsia="zh-CN"/>
              </w:rPr>
            </w:pPr>
            <w:r>
              <w:rPr>
                <w:rFonts w:hint="eastAsia" w:ascii="Times New Roman" w:hAnsi="Times New Roman" w:eastAsia="宋体" w:cs="宋体"/>
                <w:color w:val="000000"/>
                <w:spacing w:val="0"/>
                <w:w w:val="100"/>
                <w:position w:val="0"/>
                <w:sz w:val="22"/>
                <w:szCs w:val="22"/>
                <w:lang w:val="en-US" w:eastAsia="zh-CN"/>
              </w:rPr>
              <w:t>年限</w:t>
            </w:r>
            <w:r>
              <w:rPr>
                <w:rFonts w:hint="eastAsia" w:ascii="Times New Roman" w:hAnsi="Times New Roman" w:eastAsia="宋体" w:cs="宋体"/>
                <w:color w:val="000000"/>
                <w:spacing w:val="0"/>
                <w:w w:val="100"/>
                <w:position w:val="0"/>
                <w:sz w:val="22"/>
                <w:szCs w:val="22"/>
                <w:lang w:eastAsia="zh-CN"/>
              </w:rPr>
              <w:t>（</w:t>
            </w:r>
            <w:r>
              <w:rPr>
                <w:rFonts w:hint="eastAsia" w:ascii="Times New Roman" w:hAnsi="Times New Roman" w:eastAsia="宋体" w:cs="宋体"/>
                <w:color w:val="000000"/>
                <w:spacing w:val="0"/>
                <w:w w:val="100"/>
                <w:position w:val="0"/>
                <w:sz w:val="22"/>
                <w:szCs w:val="22"/>
                <w:lang w:val="en-US" w:eastAsia="zh-CN"/>
              </w:rPr>
              <w:t>年）</w:t>
            </w:r>
          </w:p>
        </w:tc>
        <w:tc>
          <w:tcPr>
            <w:tcW w:w="864" w:type="dxa"/>
            <w:vMerge w:val="restart"/>
            <w:tcBorders>
              <w:top w:val="single" w:color="auto" w:sz="4" w:space="0"/>
              <w:left w:val="single" w:color="auto" w:sz="4" w:space="0"/>
              <w:right w:val="single" w:color="auto" w:sz="4" w:space="0"/>
            </w:tcBorders>
            <w:shd w:val="clear" w:color="auto" w:fill="FFFFFF"/>
            <w:vAlign w:val="top"/>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r>
              <w:rPr>
                <w:rFonts w:hint="eastAsia" w:ascii="Times New Roman" w:hAnsi="Times New Roman" w:eastAsia="宋体" w:cs="宋体"/>
                <w:color w:val="000000"/>
                <w:spacing w:val="0"/>
                <w:w w:val="100"/>
                <w:position w:val="0"/>
                <w:sz w:val="22"/>
                <w:szCs w:val="22"/>
                <w:lang w:val="en-US" w:eastAsia="zh-CN"/>
              </w:rPr>
              <w:t>挂牌</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宋体"/>
                <w:color w:val="000000"/>
                <w:spacing w:val="0"/>
                <w:w w:val="100"/>
                <w:position w:val="0"/>
                <w:sz w:val="22"/>
                <w:szCs w:val="22"/>
                <w:lang w:val="en-US" w:eastAsia="zh-CN"/>
              </w:rPr>
            </w:pPr>
            <w:r>
              <w:rPr>
                <w:rFonts w:hint="eastAsia" w:ascii="Times New Roman" w:hAnsi="Times New Roman" w:eastAsia="宋体" w:cs="宋体"/>
                <w:color w:val="000000"/>
                <w:spacing w:val="0"/>
                <w:w w:val="100"/>
                <w:position w:val="0"/>
                <w:sz w:val="22"/>
                <w:szCs w:val="22"/>
                <w:lang w:val="en-US" w:eastAsia="zh-CN"/>
              </w:rPr>
              <w:t>起始价（万元）</w:t>
            </w:r>
          </w:p>
        </w:tc>
        <w:tc>
          <w:tcPr>
            <w:tcW w:w="840" w:type="dxa"/>
            <w:vMerge w:val="restart"/>
            <w:tcBorders>
              <w:top w:val="single" w:color="auto" w:sz="4" w:space="0"/>
              <w:left w:val="single" w:color="auto" w:sz="4" w:space="0"/>
              <w:right w:val="single" w:color="auto" w:sz="4" w:space="0"/>
            </w:tcBorders>
            <w:shd w:val="clear" w:color="auto" w:fill="FFFFFF"/>
            <w:vAlign w:val="top"/>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r>
              <w:rPr>
                <w:rFonts w:hint="eastAsia" w:ascii="Times New Roman" w:hAnsi="Times New Roman" w:eastAsia="宋体" w:cs="宋体"/>
                <w:color w:val="000000"/>
                <w:spacing w:val="0"/>
                <w:w w:val="100"/>
                <w:position w:val="0"/>
                <w:sz w:val="22"/>
                <w:szCs w:val="22"/>
                <w:lang w:val="en-US" w:eastAsia="zh-CN"/>
              </w:rPr>
              <w:t>加价</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r>
              <w:rPr>
                <w:rFonts w:hint="eastAsia" w:ascii="Times New Roman" w:hAnsi="Times New Roman" w:eastAsia="宋体" w:cs="宋体"/>
                <w:color w:val="000000"/>
                <w:spacing w:val="0"/>
                <w:w w:val="100"/>
                <w:position w:val="0"/>
                <w:sz w:val="22"/>
                <w:szCs w:val="22"/>
                <w:lang w:val="en-US" w:eastAsia="zh-CN"/>
              </w:rPr>
              <w:t>幅度</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r>
              <w:rPr>
                <w:rFonts w:hint="eastAsia" w:ascii="Times New Roman" w:hAnsi="Times New Roman" w:eastAsia="宋体" w:cs="宋体"/>
                <w:color w:val="000000"/>
                <w:spacing w:val="0"/>
                <w:w w:val="100"/>
                <w:position w:val="0"/>
                <w:sz w:val="22"/>
                <w:szCs w:val="22"/>
                <w:lang w:val="en-US" w:eastAsia="zh-CN"/>
              </w:rPr>
              <w:t>（万元）</w:t>
            </w:r>
          </w:p>
        </w:tc>
        <w:tc>
          <w:tcPr>
            <w:tcW w:w="1056" w:type="dxa"/>
            <w:vMerge w:val="restart"/>
            <w:tcBorders>
              <w:top w:val="single" w:color="auto" w:sz="4" w:space="0"/>
              <w:left w:val="single" w:color="auto" w:sz="4" w:space="0"/>
              <w:right w:val="single" w:color="auto" w:sz="4" w:space="0"/>
            </w:tcBorders>
            <w:shd w:val="clear" w:color="auto" w:fill="FFFFFF"/>
            <w:vAlign w:val="top"/>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r>
              <w:rPr>
                <w:rFonts w:hint="eastAsia" w:ascii="Times New Roman" w:hAnsi="Times New Roman" w:eastAsia="宋体" w:cs="宋体"/>
                <w:color w:val="000000"/>
                <w:spacing w:val="0"/>
                <w:w w:val="100"/>
                <w:position w:val="0"/>
                <w:sz w:val="22"/>
                <w:szCs w:val="22"/>
                <w:lang w:val="en-US" w:eastAsia="zh-CN"/>
              </w:rPr>
              <w:t>竞买</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r>
              <w:rPr>
                <w:rFonts w:hint="eastAsia" w:ascii="Times New Roman" w:hAnsi="Times New Roman" w:eastAsia="宋体" w:cs="宋体"/>
                <w:color w:val="000000"/>
                <w:spacing w:val="0"/>
                <w:w w:val="100"/>
                <w:position w:val="0"/>
                <w:sz w:val="22"/>
                <w:szCs w:val="22"/>
                <w:lang w:val="en-US" w:eastAsia="zh-CN"/>
              </w:rPr>
              <w:t>保证金</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r>
              <w:rPr>
                <w:rFonts w:hint="eastAsia" w:ascii="Times New Roman" w:hAnsi="Times New Roman" w:eastAsia="宋体" w:cs="宋体"/>
                <w:color w:val="000000"/>
                <w:spacing w:val="0"/>
                <w:w w:val="100"/>
                <w:position w:val="0"/>
                <w:sz w:val="22"/>
                <w:szCs w:val="22"/>
                <w:lang w:val="en-US" w:eastAsia="zh-CN"/>
              </w:rPr>
              <w:t>（万元）</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p>
        </w:tc>
        <w:tc>
          <w:tcPr>
            <w:tcW w:w="864" w:type="dxa"/>
            <w:vMerge w:val="restart"/>
            <w:tcBorders>
              <w:top w:val="single" w:color="auto" w:sz="4" w:space="0"/>
              <w:left w:val="single" w:color="auto" w:sz="4" w:space="0"/>
              <w:right w:val="single" w:color="auto" w:sz="4" w:space="0"/>
            </w:tcBorders>
            <w:shd w:val="clear" w:color="auto" w:fill="FFFFFF"/>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r>
              <w:rPr>
                <w:rFonts w:hint="eastAsia" w:ascii="Times New Roman" w:hAnsi="Times New Roman" w:eastAsia="宋体" w:cs="宋体"/>
                <w:color w:val="000000"/>
                <w:spacing w:val="0"/>
                <w:w w:val="100"/>
                <w:position w:val="0"/>
                <w:sz w:val="22"/>
                <w:szCs w:val="22"/>
                <w:lang w:val="en-US" w:eastAsia="zh-CN"/>
              </w:rPr>
              <w:t>保证金截止时间</w:t>
            </w:r>
          </w:p>
        </w:tc>
      </w:tr>
      <w:tr>
        <w:tblPrEx>
          <w:tblCellMar>
            <w:top w:w="0" w:type="dxa"/>
            <w:left w:w="10" w:type="dxa"/>
            <w:bottom w:w="0" w:type="dxa"/>
            <w:right w:w="10" w:type="dxa"/>
          </w:tblCellMar>
        </w:tblPrEx>
        <w:trPr>
          <w:trHeight w:val="1433" w:hRule="exact"/>
          <w:jc w:val="center"/>
        </w:trPr>
        <w:tc>
          <w:tcPr>
            <w:tcW w:w="642" w:type="dxa"/>
            <w:vMerge w:val="continue"/>
            <w:tcBorders>
              <w:left w:val="single" w:color="auto" w:sz="4" w:space="0"/>
            </w:tcBorders>
            <w:shd w:val="clear" w:color="auto" w:fill="FFFFFF"/>
            <w:vAlign w:val="center"/>
          </w:tcPr>
          <w:p>
            <w:pPr>
              <w:jc w:val="center"/>
              <w:rPr>
                <w:rFonts w:ascii="Times New Roman" w:hAnsi="Times New Roman"/>
              </w:rPr>
            </w:pPr>
          </w:p>
        </w:tc>
        <w:tc>
          <w:tcPr>
            <w:tcW w:w="630" w:type="dxa"/>
            <w:vMerge w:val="continue"/>
            <w:tcBorders>
              <w:left w:val="single" w:color="auto" w:sz="4" w:space="0"/>
            </w:tcBorders>
            <w:shd w:val="clear" w:color="auto" w:fill="FFFFFF"/>
            <w:vAlign w:val="center"/>
          </w:tcPr>
          <w:p>
            <w:pPr>
              <w:jc w:val="center"/>
              <w:rPr>
                <w:rFonts w:ascii="Times New Roman" w:hAnsi="Times New Roman"/>
              </w:rPr>
            </w:pPr>
          </w:p>
        </w:tc>
        <w:tc>
          <w:tcPr>
            <w:tcW w:w="1140" w:type="dxa"/>
            <w:vMerge w:val="continue"/>
            <w:tcBorders>
              <w:left w:val="single" w:color="auto" w:sz="4" w:space="0"/>
            </w:tcBorders>
            <w:shd w:val="clear" w:color="auto" w:fill="FFFFFF"/>
            <w:vAlign w:val="center"/>
          </w:tcPr>
          <w:p>
            <w:pPr>
              <w:jc w:val="center"/>
              <w:rPr>
                <w:rFonts w:ascii="Times New Roman" w:hAnsi="Times New Roman"/>
              </w:rPr>
            </w:pPr>
          </w:p>
        </w:tc>
        <w:tc>
          <w:tcPr>
            <w:tcW w:w="516" w:type="dxa"/>
            <w:vMerge w:val="continue"/>
            <w:tcBorders>
              <w:left w:val="single" w:color="auto" w:sz="4" w:space="0"/>
            </w:tcBorders>
            <w:shd w:val="clear" w:color="auto" w:fill="FFFFFF"/>
            <w:vAlign w:val="center"/>
          </w:tcPr>
          <w:p>
            <w:pPr>
              <w:jc w:val="center"/>
              <w:rPr>
                <w:rFonts w:ascii="Times New Roman" w:hAnsi="Times New Roman"/>
              </w:rPr>
            </w:pPr>
          </w:p>
        </w:tc>
        <w:tc>
          <w:tcPr>
            <w:tcW w:w="1116" w:type="dxa"/>
            <w:tcBorders>
              <w:top w:val="single" w:color="auto" w:sz="4" w:space="0"/>
              <w:left w:val="single" w:color="auto" w:sz="4" w:space="0"/>
            </w:tcBorders>
            <w:shd w:val="clear" w:color="auto" w:fill="FFFFFF"/>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宋体"/>
                <w:color w:val="000000"/>
                <w:spacing w:val="0"/>
                <w:w w:val="100"/>
                <w:position w:val="0"/>
                <w:sz w:val="22"/>
                <w:szCs w:val="22"/>
                <w:lang w:val="en-US" w:eastAsia="zh-CN"/>
              </w:rPr>
            </w:pPr>
            <w:r>
              <w:rPr>
                <w:rFonts w:ascii="Times New Roman" w:hAnsi="Times New Roman" w:eastAsia="宋体" w:cs="宋体"/>
                <w:color w:val="000000"/>
                <w:spacing w:val="0"/>
                <w:w w:val="100"/>
                <w:position w:val="0"/>
                <w:sz w:val="22"/>
                <w:szCs w:val="22"/>
              </w:rPr>
              <w:t>计算指标用地面积</w:t>
            </w:r>
            <w:r>
              <w:rPr>
                <w:rFonts w:hint="eastAsia" w:ascii="Times New Roman" w:hAnsi="Times New Roman" w:eastAsia="宋体" w:cs="宋体"/>
                <w:color w:val="000000"/>
                <w:spacing w:val="0"/>
                <w:w w:val="100"/>
                <w:position w:val="0"/>
                <w:sz w:val="22"/>
                <w:szCs w:val="22"/>
                <w:lang w:eastAsia="zh-CN"/>
              </w:rPr>
              <w:t>（</w:t>
            </w:r>
            <w:r>
              <w:rPr>
                <w:rFonts w:hint="eastAsia" w:ascii="Times New Roman" w:hAnsi="Times New Roman" w:eastAsia="宋体" w:cs="宋体"/>
                <w:color w:val="000000"/>
                <w:spacing w:val="0"/>
                <w:w w:val="100"/>
                <w:position w:val="0"/>
                <w:sz w:val="22"/>
                <w:szCs w:val="22"/>
                <w:lang w:val="en-US" w:eastAsia="zh-CN"/>
              </w:rPr>
              <w:t>㎡）</w:t>
            </w:r>
          </w:p>
        </w:tc>
        <w:tc>
          <w:tcPr>
            <w:tcW w:w="936" w:type="dxa"/>
            <w:tcBorders>
              <w:top w:val="single" w:color="auto" w:sz="4" w:space="0"/>
              <w:left w:val="single" w:color="auto" w:sz="4" w:space="0"/>
            </w:tcBorders>
            <w:shd w:val="clear" w:color="auto" w:fill="FFFFFF"/>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Times New Roman" w:hAnsi="Times New Roman" w:eastAsia="宋体" w:cs="宋体"/>
                <w:color w:val="000000"/>
                <w:spacing w:val="0"/>
                <w:w w:val="100"/>
                <w:position w:val="0"/>
                <w:sz w:val="22"/>
                <w:szCs w:val="22"/>
              </w:rPr>
            </w:pPr>
            <w:r>
              <w:rPr>
                <w:rFonts w:ascii="Times New Roman" w:hAnsi="Times New Roman" w:eastAsia="宋体" w:cs="宋体"/>
                <w:color w:val="000000"/>
                <w:spacing w:val="0"/>
                <w:w w:val="100"/>
                <w:position w:val="0"/>
                <w:sz w:val="22"/>
                <w:szCs w:val="22"/>
              </w:rPr>
              <w:t>宗地使用权面积</w:t>
            </w:r>
            <w:r>
              <w:rPr>
                <w:rFonts w:hint="eastAsia" w:ascii="Times New Roman" w:hAnsi="Times New Roman" w:eastAsia="宋体" w:cs="宋体"/>
                <w:color w:val="000000"/>
                <w:spacing w:val="0"/>
                <w:w w:val="100"/>
                <w:position w:val="0"/>
                <w:sz w:val="22"/>
                <w:szCs w:val="22"/>
                <w:lang w:eastAsia="zh-CN"/>
              </w:rPr>
              <w:t>（</w:t>
            </w:r>
            <w:r>
              <w:rPr>
                <w:rFonts w:hint="eastAsia" w:ascii="Times New Roman" w:hAnsi="Times New Roman" w:eastAsia="宋体" w:cs="宋体"/>
                <w:color w:val="000000"/>
                <w:spacing w:val="0"/>
                <w:w w:val="100"/>
                <w:position w:val="0"/>
                <w:sz w:val="22"/>
                <w:szCs w:val="22"/>
                <w:lang w:val="en-US" w:eastAsia="zh-CN"/>
              </w:rPr>
              <w:t>㎡）</w:t>
            </w:r>
          </w:p>
        </w:tc>
        <w:tc>
          <w:tcPr>
            <w:tcW w:w="708" w:type="dxa"/>
            <w:tcBorders>
              <w:top w:val="single" w:color="auto" w:sz="4" w:space="0"/>
              <w:left w:val="single" w:color="auto" w:sz="4" w:space="0"/>
            </w:tcBorders>
            <w:shd w:val="clear" w:color="auto" w:fill="FFFFFF"/>
            <w:vAlign w:val="top"/>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Times New Roman" w:hAnsi="Times New Roman" w:eastAsia="宋体" w:cs="宋体"/>
                <w:color w:val="000000"/>
                <w:spacing w:val="0"/>
                <w:w w:val="100"/>
                <w:position w:val="0"/>
                <w:sz w:val="22"/>
                <w:szCs w:val="22"/>
                <w:lang w:val="en-US" w:eastAsia="zh-CN"/>
              </w:rPr>
            </w:pPr>
            <w:r>
              <w:rPr>
                <w:rFonts w:hint="default" w:ascii="Times New Roman" w:hAnsi="Times New Roman" w:eastAsia="宋体" w:cs="宋体"/>
                <w:color w:val="000000"/>
                <w:spacing w:val="0"/>
                <w:w w:val="100"/>
                <w:position w:val="0"/>
                <w:sz w:val="22"/>
                <w:szCs w:val="22"/>
                <w:lang w:val="en-US" w:eastAsia="zh-CN"/>
              </w:rPr>
              <w:t>建</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Times New Roman" w:hAnsi="Times New Roman" w:eastAsia="宋体" w:cs="宋体"/>
                <w:color w:val="000000"/>
                <w:spacing w:val="0"/>
                <w:w w:val="100"/>
                <w:position w:val="0"/>
                <w:sz w:val="22"/>
                <w:szCs w:val="22"/>
                <w:lang w:val="en-US" w:eastAsia="zh-CN"/>
              </w:rPr>
            </w:pPr>
            <w:r>
              <w:rPr>
                <w:rFonts w:hint="default" w:ascii="Times New Roman" w:hAnsi="Times New Roman" w:eastAsia="宋体" w:cs="宋体"/>
                <w:color w:val="000000"/>
                <w:spacing w:val="0"/>
                <w:w w:val="100"/>
                <w:position w:val="0"/>
                <w:sz w:val="22"/>
                <w:szCs w:val="22"/>
                <w:lang w:val="en-US" w:eastAsia="zh-CN"/>
              </w:rPr>
              <w:t>筑</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eastAsia" w:ascii="Times New Roman" w:hAnsi="Times New Roman" w:cs="宋体"/>
                <w:color w:val="000000"/>
                <w:spacing w:val="0"/>
                <w:w w:val="100"/>
                <w:position w:val="0"/>
                <w:sz w:val="22"/>
                <w:szCs w:val="22"/>
                <w:lang w:val="en-US" w:eastAsia="zh-CN"/>
              </w:rPr>
            </w:pPr>
            <w:r>
              <w:rPr>
                <w:rFonts w:hint="eastAsia" w:ascii="Times New Roman" w:hAnsi="Times New Roman" w:cs="宋体"/>
                <w:color w:val="000000"/>
                <w:spacing w:val="0"/>
                <w:w w:val="100"/>
                <w:position w:val="0"/>
                <w:sz w:val="22"/>
                <w:szCs w:val="22"/>
                <w:lang w:val="en-US" w:eastAsia="zh-CN"/>
              </w:rPr>
              <w:t>密</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eastAsia" w:ascii="Times New Roman" w:hAnsi="Times New Roman" w:cs="宋体"/>
                <w:color w:val="000000"/>
                <w:spacing w:val="0"/>
                <w:w w:val="100"/>
                <w:position w:val="0"/>
                <w:sz w:val="22"/>
                <w:szCs w:val="22"/>
                <w:lang w:val="en-US" w:eastAsia="zh-CN"/>
              </w:rPr>
            </w:pPr>
            <w:r>
              <w:rPr>
                <w:rFonts w:hint="eastAsia" w:ascii="Times New Roman" w:hAnsi="Times New Roman" w:cs="宋体"/>
                <w:color w:val="000000"/>
                <w:spacing w:val="0"/>
                <w:w w:val="100"/>
                <w:position w:val="0"/>
                <w:sz w:val="22"/>
                <w:szCs w:val="22"/>
                <w:lang w:val="en-US" w:eastAsia="zh-CN"/>
              </w:rPr>
              <w:t>度</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Times New Roman" w:hAnsi="Times New Roman" w:eastAsia="宋体" w:cs="宋体"/>
                <w:color w:val="000000"/>
                <w:spacing w:val="0"/>
                <w:w w:val="100"/>
                <w:position w:val="0"/>
                <w:sz w:val="22"/>
                <w:szCs w:val="22"/>
                <w:lang w:val="en-US"/>
              </w:rPr>
            </w:pPr>
            <w:r>
              <w:rPr>
                <w:rFonts w:hint="eastAsia" w:ascii="Times New Roman" w:hAnsi="Times New Roman" w:eastAsia="宋体" w:cs="宋体"/>
                <w:color w:val="000000"/>
                <w:spacing w:val="0"/>
                <w:w w:val="100"/>
                <w:position w:val="0"/>
                <w:sz w:val="22"/>
                <w:szCs w:val="22"/>
                <w:lang w:val="en-US" w:eastAsia="zh-CN"/>
              </w:rPr>
              <w:t>（%）</w:t>
            </w:r>
          </w:p>
        </w:tc>
        <w:tc>
          <w:tcPr>
            <w:tcW w:w="852" w:type="dxa"/>
            <w:tcBorders>
              <w:top w:val="single" w:color="auto" w:sz="4" w:space="0"/>
              <w:left w:val="single" w:color="auto" w:sz="4" w:space="0"/>
            </w:tcBorders>
            <w:shd w:val="clear" w:color="auto" w:fill="FFFFFF"/>
            <w:vAlign w:val="top"/>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r>
              <w:rPr>
                <w:rFonts w:hint="eastAsia" w:ascii="Times New Roman" w:hAnsi="Times New Roman" w:eastAsia="宋体" w:cs="宋体"/>
                <w:color w:val="000000"/>
                <w:spacing w:val="0"/>
                <w:w w:val="100"/>
                <w:position w:val="0"/>
                <w:sz w:val="22"/>
                <w:szCs w:val="22"/>
                <w:lang w:val="en-US" w:eastAsia="zh-CN"/>
              </w:rPr>
              <w:t>容</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Times New Roman" w:hAnsi="Times New Roman" w:eastAsia="宋体" w:cs="宋体"/>
                <w:color w:val="000000"/>
                <w:spacing w:val="0"/>
                <w:w w:val="100"/>
                <w:position w:val="0"/>
                <w:sz w:val="22"/>
                <w:szCs w:val="22"/>
              </w:rPr>
            </w:pPr>
            <w:r>
              <w:rPr>
                <w:rFonts w:ascii="Times New Roman" w:hAnsi="Times New Roman" w:eastAsia="宋体" w:cs="宋体"/>
                <w:color w:val="000000"/>
                <w:spacing w:val="0"/>
                <w:w w:val="100"/>
                <w:position w:val="0"/>
                <w:sz w:val="22"/>
                <w:szCs w:val="22"/>
              </w:rPr>
              <w:t>积</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Times New Roman" w:hAnsi="Times New Roman" w:eastAsia="宋体" w:cs="宋体"/>
                <w:color w:val="000000"/>
                <w:spacing w:val="0"/>
                <w:w w:val="100"/>
                <w:position w:val="0"/>
                <w:sz w:val="22"/>
                <w:szCs w:val="22"/>
              </w:rPr>
            </w:pPr>
            <w:r>
              <w:rPr>
                <w:rFonts w:ascii="Times New Roman" w:hAnsi="Times New Roman" w:eastAsia="宋体" w:cs="宋体"/>
                <w:color w:val="000000"/>
                <w:spacing w:val="0"/>
                <w:w w:val="100"/>
                <w:position w:val="0"/>
                <w:sz w:val="22"/>
                <w:szCs w:val="22"/>
              </w:rPr>
              <w:t>率</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r>
              <w:rPr>
                <w:rFonts w:hint="eastAsia" w:ascii="Times New Roman" w:hAnsi="Times New Roman" w:eastAsia="宋体" w:cs="宋体"/>
                <w:color w:val="000000"/>
                <w:spacing w:val="0"/>
                <w:w w:val="100"/>
                <w:position w:val="0"/>
                <w:sz w:val="22"/>
                <w:szCs w:val="22"/>
                <w:lang w:val="en-US" w:eastAsia="zh-CN"/>
              </w:rPr>
              <w:t>R</w:t>
            </w:r>
          </w:p>
        </w:tc>
        <w:tc>
          <w:tcPr>
            <w:tcW w:w="1740" w:type="dxa"/>
            <w:tcBorders>
              <w:top w:val="single" w:color="auto" w:sz="4" w:space="0"/>
              <w:left w:val="single" w:color="auto" w:sz="4" w:space="0"/>
            </w:tcBorders>
            <w:shd w:val="clear" w:color="auto" w:fill="FFFFFF"/>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r>
              <w:rPr>
                <w:rFonts w:ascii="Times New Roman" w:hAnsi="Times New Roman" w:eastAsia="宋体" w:cs="宋体"/>
                <w:color w:val="000000"/>
                <w:spacing w:val="0"/>
                <w:w w:val="100"/>
                <w:position w:val="0"/>
                <w:sz w:val="22"/>
                <w:szCs w:val="22"/>
              </w:rPr>
              <w:t>计容积率建筑面积</w:t>
            </w:r>
            <w:r>
              <w:rPr>
                <w:rFonts w:hint="eastAsia" w:ascii="Times New Roman" w:hAnsi="Times New Roman" w:eastAsia="宋体" w:cs="宋体"/>
                <w:color w:val="000000"/>
                <w:spacing w:val="0"/>
                <w:w w:val="100"/>
                <w:position w:val="0"/>
                <w:sz w:val="22"/>
                <w:szCs w:val="22"/>
                <w:lang w:val="en-US" w:eastAsia="zh-CN"/>
              </w:rPr>
              <w:t>S</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r>
              <w:rPr>
                <w:rFonts w:hint="eastAsia" w:ascii="Times New Roman" w:hAnsi="Times New Roman" w:eastAsia="宋体" w:cs="宋体"/>
                <w:color w:val="000000"/>
                <w:spacing w:val="0"/>
                <w:w w:val="100"/>
                <w:position w:val="0"/>
                <w:sz w:val="22"/>
                <w:szCs w:val="22"/>
                <w:lang w:eastAsia="zh-CN"/>
              </w:rPr>
              <w:t>（</w:t>
            </w:r>
            <w:r>
              <w:rPr>
                <w:rFonts w:hint="eastAsia" w:ascii="Times New Roman" w:hAnsi="Times New Roman" w:eastAsia="宋体" w:cs="宋体"/>
                <w:color w:val="000000"/>
                <w:spacing w:val="0"/>
                <w:w w:val="100"/>
                <w:position w:val="0"/>
                <w:sz w:val="22"/>
                <w:szCs w:val="22"/>
                <w:lang w:val="en-US" w:eastAsia="zh-CN"/>
              </w:rPr>
              <w:t>㎡）</w:t>
            </w:r>
          </w:p>
        </w:tc>
        <w:tc>
          <w:tcPr>
            <w:tcW w:w="678" w:type="dxa"/>
            <w:tcBorders>
              <w:top w:val="single" w:color="auto" w:sz="4" w:space="0"/>
              <w:left w:val="single" w:color="auto" w:sz="4" w:space="0"/>
            </w:tcBorders>
            <w:shd w:val="clear" w:color="auto" w:fill="FFFFFF"/>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Times New Roman" w:hAnsi="Times New Roman" w:eastAsia="宋体" w:cs="宋体"/>
                <w:color w:val="000000"/>
                <w:spacing w:val="0"/>
                <w:w w:val="100"/>
                <w:position w:val="0"/>
                <w:sz w:val="22"/>
                <w:szCs w:val="22"/>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Times New Roman" w:hAnsi="Times New Roman" w:eastAsia="宋体" w:cs="宋体"/>
                <w:color w:val="000000"/>
                <w:spacing w:val="0"/>
                <w:w w:val="100"/>
                <w:position w:val="0"/>
                <w:sz w:val="22"/>
                <w:szCs w:val="22"/>
              </w:rPr>
            </w:pPr>
            <w:r>
              <w:rPr>
                <w:rFonts w:ascii="Times New Roman" w:hAnsi="Times New Roman" w:eastAsia="宋体" w:cs="宋体"/>
                <w:color w:val="000000"/>
                <w:spacing w:val="0"/>
                <w:w w:val="100"/>
                <w:position w:val="0"/>
                <w:sz w:val="22"/>
                <w:szCs w:val="22"/>
              </w:rPr>
              <w:t>绿地率</w:t>
            </w:r>
            <w:r>
              <w:rPr>
                <w:rFonts w:hint="eastAsia" w:ascii="Times New Roman" w:hAnsi="Times New Roman" w:eastAsia="宋体" w:cs="宋体"/>
                <w:color w:val="000000"/>
                <w:spacing w:val="0"/>
                <w:w w:val="100"/>
                <w:position w:val="0"/>
                <w:sz w:val="22"/>
                <w:szCs w:val="22"/>
                <w:lang w:val="en-US" w:eastAsia="zh-CN"/>
              </w:rPr>
              <w:t>（%）</w:t>
            </w:r>
          </w:p>
        </w:tc>
        <w:tc>
          <w:tcPr>
            <w:tcW w:w="1685" w:type="dxa"/>
            <w:tcBorders>
              <w:top w:val="single" w:color="auto" w:sz="4" w:space="0"/>
              <w:left w:val="single" w:color="auto" w:sz="4" w:space="0"/>
            </w:tcBorders>
            <w:shd w:val="clear" w:color="auto" w:fill="FFFFFF"/>
            <w:vAlign w:val="top"/>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zh-TW" w:eastAsia="zh-TW"/>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Times New Roman" w:hAnsi="Times New Roman" w:eastAsia="宋体" w:cs="宋体"/>
                <w:color w:val="000000"/>
                <w:spacing w:val="0"/>
                <w:w w:val="100"/>
                <w:position w:val="0"/>
                <w:sz w:val="22"/>
                <w:szCs w:val="22"/>
              </w:rPr>
            </w:pPr>
            <w:r>
              <w:rPr>
                <w:rFonts w:hint="eastAsia" w:ascii="Times New Roman" w:hAnsi="Times New Roman" w:eastAsia="宋体" w:cs="宋体"/>
                <w:color w:val="000000"/>
                <w:spacing w:val="0"/>
                <w:w w:val="100"/>
                <w:position w:val="0"/>
                <w:sz w:val="22"/>
                <w:szCs w:val="22"/>
                <w:lang w:val="zh-TW" w:eastAsia="zh-TW"/>
              </w:rPr>
              <w:t>机动车停车位配建要求</w:t>
            </w:r>
          </w:p>
        </w:tc>
        <w:tc>
          <w:tcPr>
            <w:tcW w:w="647" w:type="dxa"/>
            <w:tcBorders>
              <w:top w:val="single" w:color="auto" w:sz="4" w:space="0"/>
              <w:left w:val="single" w:color="auto" w:sz="4" w:space="0"/>
            </w:tcBorders>
            <w:shd w:val="clear" w:color="auto" w:fill="FFFFFF"/>
            <w:vAlign w:val="top"/>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r>
              <w:rPr>
                <w:rFonts w:hint="eastAsia" w:ascii="Times New Roman" w:hAnsi="Times New Roman" w:eastAsia="宋体" w:cs="宋体"/>
                <w:color w:val="000000"/>
                <w:spacing w:val="0"/>
                <w:w w:val="100"/>
                <w:position w:val="0"/>
                <w:sz w:val="22"/>
                <w:szCs w:val="22"/>
                <w:lang w:val="en-US" w:eastAsia="zh-CN"/>
              </w:rPr>
              <w:t>其他</w:t>
            </w:r>
          </w:p>
        </w:tc>
        <w:tc>
          <w:tcPr>
            <w:tcW w:w="698" w:type="dxa"/>
            <w:vMerge w:val="continue"/>
            <w:tcBorders>
              <w:left w:val="single" w:color="auto" w:sz="4" w:space="0"/>
              <w:right w:val="single" w:color="auto" w:sz="4" w:space="0"/>
            </w:tcBorders>
            <w:shd w:val="clear" w:color="auto" w:fill="FFFFFF"/>
            <w:textDirection w:val="tbRlV"/>
            <w:vAlign w:val="top"/>
          </w:tcPr>
          <w:p>
            <w:pPr>
              <w:pStyle w:val="35"/>
              <w:keepNext w:val="0"/>
              <w:keepLines w:val="0"/>
              <w:pageBreakBefore w:val="0"/>
              <w:widowControl w:val="0"/>
              <w:shd w:val="clear" w:color="auto" w:fill="auto"/>
              <w:kinsoku/>
              <w:wordWrap/>
              <w:overflowPunct/>
              <w:topLinePunct w:val="0"/>
              <w:autoSpaceDE/>
              <w:autoSpaceDN/>
              <w:bidi w:val="0"/>
              <w:adjustRightInd/>
              <w:snapToGrid/>
              <w:spacing w:before="340" w:after="0" w:line="240" w:lineRule="auto"/>
              <w:ind w:left="0" w:right="0" w:firstLine="0"/>
              <w:jc w:val="center"/>
              <w:textAlignment w:val="auto"/>
              <w:rPr>
                <w:rFonts w:hint="default" w:ascii="Times New Roman" w:hAnsi="Times New Roman" w:eastAsia="宋体"/>
                <w:lang w:val="en-US" w:eastAsia="zh-CN"/>
              </w:rPr>
            </w:pPr>
          </w:p>
        </w:tc>
        <w:tc>
          <w:tcPr>
            <w:tcW w:w="864" w:type="dxa"/>
            <w:vMerge w:val="continue"/>
            <w:tcBorders>
              <w:left w:val="single" w:color="auto" w:sz="4" w:space="0"/>
              <w:right w:val="single" w:color="auto" w:sz="4" w:space="0"/>
            </w:tcBorders>
            <w:shd w:val="clear" w:color="auto" w:fill="FFFFFF"/>
            <w:textDirection w:val="tbRlV"/>
            <w:vAlign w:val="top"/>
          </w:tcPr>
          <w:p>
            <w:pPr>
              <w:pStyle w:val="35"/>
              <w:keepNext w:val="0"/>
              <w:keepLines w:val="0"/>
              <w:widowControl w:val="0"/>
              <w:shd w:val="clear" w:color="auto" w:fill="auto"/>
              <w:bidi w:val="0"/>
              <w:spacing w:before="340" w:after="0" w:line="240" w:lineRule="auto"/>
              <w:ind w:left="0" w:right="0" w:firstLine="0"/>
              <w:jc w:val="center"/>
              <w:rPr>
                <w:rFonts w:ascii="Times New Roman" w:hAnsi="Times New Roman"/>
                <w:color w:val="000000"/>
                <w:spacing w:val="0"/>
                <w:w w:val="100"/>
                <w:position w:val="0"/>
              </w:rPr>
            </w:pPr>
          </w:p>
        </w:tc>
        <w:tc>
          <w:tcPr>
            <w:tcW w:w="840" w:type="dxa"/>
            <w:vMerge w:val="continue"/>
            <w:tcBorders>
              <w:left w:val="single" w:color="auto" w:sz="4" w:space="0"/>
              <w:right w:val="single" w:color="auto" w:sz="4" w:space="0"/>
            </w:tcBorders>
            <w:shd w:val="clear" w:color="auto" w:fill="FFFFFF"/>
            <w:textDirection w:val="tbRlV"/>
            <w:vAlign w:val="top"/>
          </w:tcPr>
          <w:p>
            <w:pPr>
              <w:pStyle w:val="35"/>
              <w:keepNext w:val="0"/>
              <w:keepLines w:val="0"/>
              <w:widowControl w:val="0"/>
              <w:shd w:val="clear" w:color="auto" w:fill="auto"/>
              <w:bidi w:val="0"/>
              <w:spacing w:before="340" w:after="0" w:line="240" w:lineRule="auto"/>
              <w:ind w:left="0" w:right="0" w:firstLine="0"/>
              <w:jc w:val="center"/>
              <w:rPr>
                <w:rFonts w:ascii="Times New Roman" w:hAnsi="Times New Roman"/>
                <w:color w:val="000000"/>
                <w:spacing w:val="0"/>
                <w:w w:val="100"/>
                <w:position w:val="0"/>
              </w:rPr>
            </w:pPr>
          </w:p>
        </w:tc>
        <w:tc>
          <w:tcPr>
            <w:tcW w:w="1056" w:type="dxa"/>
            <w:vMerge w:val="continue"/>
            <w:tcBorders>
              <w:left w:val="single" w:color="auto" w:sz="4" w:space="0"/>
              <w:right w:val="single" w:color="auto" w:sz="4" w:space="0"/>
            </w:tcBorders>
            <w:shd w:val="clear" w:color="auto" w:fill="FFFFFF"/>
            <w:textDirection w:val="tbRlV"/>
            <w:vAlign w:val="top"/>
          </w:tcPr>
          <w:p>
            <w:pPr>
              <w:pStyle w:val="35"/>
              <w:keepNext w:val="0"/>
              <w:keepLines w:val="0"/>
              <w:widowControl w:val="0"/>
              <w:shd w:val="clear" w:color="auto" w:fill="auto"/>
              <w:bidi w:val="0"/>
              <w:spacing w:before="340" w:after="0" w:line="240" w:lineRule="auto"/>
              <w:ind w:left="0" w:right="0" w:firstLine="0"/>
              <w:jc w:val="center"/>
              <w:rPr>
                <w:rFonts w:ascii="Times New Roman" w:hAnsi="Times New Roman"/>
                <w:color w:val="000000"/>
                <w:spacing w:val="0"/>
                <w:w w:val="100"/>
                <w:position w:val="0"/>
              </w:rPr>
            </w:pPr>
          </w:p>
        </w:tc>
        <w:tc>
          <w:tcPr>
            <w:tcW w:w="864" w:type="dxa"/>
            <w:vMerge w:val="continue"/>
            <w:tcBorders>
              <w:left w:val="single" w:color="auto" w:sz="4" w:space="0"/>
              <w:right w:val="single" w:color="auto" w:sz="4" w:space="0"/>
            </w:tcBorders>
            <w:shd w:val="clear" w:color="auto" w:fill="FFFFFF"/>
            <w:textDirection w:val="tbRlV"/>
            <w:vAlign w:val="top"/>
          </w:tcPr>
          <w:p>
            <w:pPr>
              <w:pStyle w:val="35"/>
              <w:keepNext w:val="0"/>
              <w:keepLines w:val="0"/>
              <w:widowControl w:val="0"/>
              <w:shd w:val="clear" w:color="auto" w:fill="auto"/>
              <w:bidi w:val="0"/>
              <w:spacing w:before="340" w:after="0" w:line="240" w:lineRule="auto"/>
              <w:ind w:left="0" w:right="0" w:firstLine="0"/>
              <w:jc w:val="center"/>
              <w:rPr>
                <w:rFonts w:ascii="Times New Roman" w:hAnsi="Times New Roman"/>
                <w:color w:val="000000"/>
                <w:spacing w:val="0"/>
                <w:w w:val="100"/>
                <w:position w:val="0"/>
              </w:rPr>
            </w:pPr>
          </w:p>
        </w:tc>
      </w:tr>
      <w:tr>
        <w:tblPrEx>
          <w:tblCellMar>
            <w:top w:w="0" w:type="dxa"/>
            <w:left w:w="10" w:type="dxa"/>
            <w:bottom w:w="0" w:type="dxa"/>
            <w:right w:w="10" w:type="dxa"/>
          </w:tblCellMar>
        </w:tblPrEx>
        <w:trPr>
          <w:trHeight w:val="2835" w:hRule="exact"/>
          <w:jc w:val="center"/>
        </w:trPr>
        <w:tc>
          <w:tcPr>
            <w:tcW w:w="64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惠仲土</w:t>
            </w:r>
            <w:r>
              <w:rPr>
                <w:rFonts w:hint="eastAsia" w:eastAsia="Times New Roman" w:cs="Times New Roman"/>
                <w:sz w:val="20"/>
                <w:szCs w:val="20"/>
                <w:lang w:val="en-US" w:eastAsia="zh-CN"/>
              </w:rPr>
              <w:t>（用地）</w:t>
            </w:r>
            <w:r>
              <w:rPr>
                <w:rFonts w:hint="eastAsia" w:ascii="Times New Roman" w:hAnsi="Times New Roman" w:eastAsia="Times New Roman" w:cs="Times New Roman"/>
                <w:sz w:val="20"/>
                <w:szCs w:val="20"/>
                <w:lang w:val="en-US" w:eastAsia="zh-CN"/>
              </w:rPr>
              <w:t>挂[2022]</w:t>
            </w:r>
            <w:r>
              <w:rPr>
                <w:rFonts w:hint="eastAsia" w:ascii="Times New Roman" w:hAnsi="Times New Roman" w:cs="Times New Roman"/>
                <w:sz w:val="20"/>
                <w:szCs w:val="20"/>
                <w:lang w:val="en-US" w:eastAsia="zh-CN"/>
              </w:rPr>
              <w:t>01</w:t>
            </w:r>
            <w:r>
              <w:rPr>
                <w:rFonts w:hint="eastAsia" w:cs="Times New Roman"/>
                <w:sz w:val="20"/>
                <w:szCs w:val="20"/>
                <w:lang w:val="en-US" w:eastAsia="zh-CN"/>
              </w:rPr>
              <w:t>1</w:t>
            </w:r>
            <w:r>
              <w:rPr>
                <w:rFonts w:hint="eastAsia" w:ascii="Times New Roman" w:hAnsi="Times New Roman" w:eastAsia="Times New Roman" w:cs="Times New Roman"/>
                <w:sz w:val="20"/>
                <w:szCs w:val="20"/>
                <w:lang w:val="en-US" w:eastAsia="zh-CN"/>
              </w:rPr>
              <w:t>号</w:t>
            </w:r>
          </w:p>
          <w:p>
            <w:pPr>
              <w:widowControl w:val="0"/>
              <w:jc w:val="center"/>
              <w:rPr>
                <w:rFonts w:ascii="Times New Roman" w:hAnsi="Times New Roman"/>
                <w:sz w:val="10"/>
                <w:szCs w:val="10"/>
              </w:rPr>
            </w:pPr>
          </w:p>
        </w:tc>
        <w:tc>
          <w:tcPr>
            <w:tcW w:w="63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惠州仲恺高新区潼湖生态智慧区梧村河东片区</w:t>
            </w:r>
          </w:p>
        </w:tc>
        <w:tc>
          <w:tcPr>
            <w:tcW w:w="114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ZKC-063-18</w:t>
            </w:r>
          </w:p>
        </w:tc>
        <w:tc>
          <w:tcPr>
            <w:tcW w:w="51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住宅及商服用地</w:t>
            </w:r>
          </w:p>
        </w:tc>
        <w:tc>
          <w:tcPr>
            <w:tcW w:w="111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17159</w:t>
            </w:r>
          </w:p>
        </w:tc>
        <w:tc>
          <w:tcPr>
            <w:tcW w:w="93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14923</w:t>
            </w:r>
          </w:p>
        </w:tc>
        <w:tc>
          <w:tcPr>
            <w:tcW w:w="70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≤22</w:t>
            </w:r>
          </w:p>
        </w:tc>
        <w:tc>
          <w:tcPr>
            <w:tcW w:w="85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w:t>
            </w:r>
            <w:r>
              <w:rPr>
                <w:rFonts w:hint="eastAsia" w:ascii="Times New Roman" w:hAnsi="Times New Roman" w:eastAsia="Times New Roman" w:cs="Times New Roman"/>
                <w:sz w:val="20"/>
                <w:szCs w:val="20"/>
                <w:lang w:val="en-US" w:eastAsia="zh-CN"/>
              </w:rPr>
              <w:t>2.8</w:t>
            </w:r>
          </w:p>
        </w:tc>
        <w:tc>
          <w:tcPr>
            <w:tcW w:w="174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w:t>
            </w:r>
            <w:r>
              <w:rPr>
                <w:rFonts w:hint="eastAsia" w:ascii="Times New Roman" w:hAnsi="Times New Roman" w:eastAsia="Times New Roman" w:cs="Times New Roman"/>
                <w:sz w:val="20"/>
                <w:szCs w:val="20"/>
                <w:lang w:val="en-US" w:eastAsia="zh-CN"/>
              </w:rPr>
              <w:t>48045㎡（兼容的商业建筑面积占该地块总计容积率建筑面积≤10%，兼容的商业用地不能建设服务型公寓）</w:t>
            </w:r>
          </w:p>
        </w:tc>
        <w:tc>
          <w:tcPr>
            <w:tcW w:w="67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≥35</w:t>
            </w:r>
          </w:p>
        </w:tc>
        <w:tc>
          <w:tcPr>
            <w:tcW w:w="1685"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每100平方米计容积率建筑面积≥1.0个。配建停车位应按要求建设充电基础设施或预留建设安装条件。</w:t>
            </w:r>
          </w:p>
        </w:tc>
        <w:tc>
          <w:tcPr>
            <w:tcW w:w="647"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w:t>
            </w:r>
          </w:p>
        </w:tc>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住宅</w:t>
            </w: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70年</w:t>
            </w: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商服</w:t>
            </w: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lang w:val="en-US" w:eastAsia="zh-CN"/>
              </w:rPr>
            </w:pPr>
            <w:r>
              <w:rPr>
                <w:rFonts w:hint="eastAsia" w:ascii="Times New Roman" w:hAnsi="Times New Roman" w:eastAsia="Times New Roman" w:cs="Times New Roman"/>
                <w:sz w:val="20"/>
                <w:szCs w:val="20"/>
                <w:lang w:val="en-US" w:eastAsia="zh-CN"/>
              </w:rPr>
              <w:t>40年</w:t>
            </w:r>
          </w:p>
        </w:tc>
        <w:tc>
          <w:tcPr>
            <w:tcW w:w="8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16389</w:t>
            </w: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100</w:t>
            </w:r>
          </w:p>
        </w:tc>
        <w:tc>
          <w:tcPr>
            <w:tcW w:w="10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8194</w:t>
            </w:r>
          </w:p>
        </w:tc>
        <w:tc>
          <w:tcPr>
            <w:tcW w:w="8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2022年12月</w:t>
            </w:r>
            <w:r>
              <w:rPr>
                <w:rFonts w:hint="eastAsia" w:eastAsia="Times New Roman" w:cs="Times New Roman"/>
                <w:sz w:val="20"/>
                <w:szCs w:val="20"/>
                <w:lang w:val="en-US" w:eastAsia="zh-CN"/>
              </w:rPr>
              <w:t>21</w:t>
            </w:r>
            <w:r>
              <w:rPr>
                <w:rFonts w:hint="eastAsia" w:ascii="Times New Roman" w:hAnsi="Times New Roman" w:eastAsia="Times New Roman" w:cs="Times New Roman"/>
                <w:sz w:val="20"/>
                <w:szCs w:val="20"/>
                <w:lang w:val="en-US" w:eastAsia="zh-CN"/>
              </w:rPr>
              <w:t>日9时</w:t>
            </w:r>
          </w:p>
        </w:tc>
      </w:tr>
    </w:tbl>
    <w:p>
      <w:pPr>
        <w:pStyle w:val="4"/>
        <w:rPr>
          <w:rFonts w:hint="eastAsia" w:ascii="Times New Roman" w:hAnsi="Times New Roman"/>
        </w:rPr>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1216660</wp:posOffset>
              </wp:positionH>
              <wp:positionV relativeFrom="page">
                <wp:posOffset>10060305</wp:posOffset>
              </wp:positionV>
              <wp:extent cx="420370" cy="82550"/>
              <wp:effectExtent l="0" t="0" r="0" b="0"/>
              <wp:wrapNone/>
              <wp:docPr id="54" name="Shape 54"/>
              <wp:cNvGraphicFramePr/>
              <a:graphic xmlns:a="http://schemas.openxmlformats.org/drawingml/2006/main">
                <a:graphicData uri="http://schemas.microsoft.com/office/word/2010/wordprocessingShape">
                  <wps:wsp>
                    <wps:cNvSpPr txBox="1"/>
                    <wps:spPr>
                      <a:xfrm>
                        <a:off x="0" y="0"/>
                        <a:ext cx="420370" cy="82550"/>
                      </a:xfrm>
                      <a:prstGeom prst="rect">
                        <a:avLst/>
                      </a:prstGeom>
                      <a:noFill/>
                    </wps:spPr>
                    <wps:txbx>
                      <w:txbxContent>
                        <w:p>
                          <w:pPr>
                            <w:pStyle w:val="3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20</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54" o:spid="_x0000_s1026" o:spt="202" type="#_x0000_t202" style="position:absolute;left:0pt;margin-left:95.8pt;margin-top:792.15pt;height:6.5pt;width:33.1pt;mso-position-horizontal-relative:page;mso-position-vertical-relative:page;mso-wrap-style:none;z-index:-251657216;mso-width-relative:page;mso-height-relative:page;" filled="f" stroked="f" coordsize="21600,21600" o:gfxdata="UEsDBAoAAAAAAIdO4kAAAAAAAAAAAAAAAAAEAAAAZHJzL1BLAwQUAAAACACHTuJAMcBtytkAAAAN&#10;AQAADwAAAGRycy9kb3ducmV2LnhtbE2PzW7CMBCE75X6DtYi9VacQCEhjcMBqZfeSqtKvZl4iSP8&#10;E9kmJG/f5dTednZHs9/U+8kaNmKIvXcC8mUGDF3rVe86AV+fb88lsJikU9J4hwJmjLBvHh9qWSl/&#10;cx84HlPHKMTFSgrQKQ0V57HVaGVc+gEd3c4+WJlIho6rIG8Ubg1fZdmWW9k7+qDlgAeN7eV4tQKK&#10;6dvjEPGAP+exDbqfS/M+C/G0yLNXYAmn9GeGOz6hQ0NMJ391KjJDepdvyUrDpnxZAyPLalNQm9N9&#10;tSvWwJua/2/R/AJQSwMEFAAAAAgAh07iQElhv8yOAQAAIgMAAA4AAABkcnMvZTJvRG9jLnhtbK1S&#10;207DMAx9R+IforyzlsEAVesQCIGQECANPiBLkzVSE0dxWLu/x8m6geAN8ZL61uPjY8+vB9uxjQpo&#10;wNX8dFJyppyExrh1zd/f7k+uOMMoXCM6cKrmW4X8enF8NO99pabQQteowAjEYdX7mrcx+qooULbK&#10;CpyAV46SGoIVkdywLpogekK3XTEty4uih9D4AFIhUvRul+SLjK+1kvFFa1SRdTUnbjG/Ib+r9BaL&#10;uajWQfjWyJGG+AMLK4yjpgeoOxEF+wjmF5Q1MgCCjhMJtgCtjVR5BprmtPwxzbIVXuVZSBz0B5nw&#10;/2Dl8+Y1MNPUfHbOmROWdpTbMvJJnN5jRTVLT1VxuIWBlryPIwXTzIMONn1pGkZ5knl7kFYNkUkK&#10;nk/Ls0vKSEpdTWezrHzx9a8PGB8UWJaMmgdaXNZTbJ4wEg8q3ZekVg7uTdeleCK4I5KsOKyGkfUK&#10;mi2R7mm3NXd0fJx1j46kS2ewN8LeWI1GAkd/8xGpQe6bUHdQYzNaRKYzHk3a9Hc/V32d9uI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McBtytkAAAANAQAADwAAAAAAAAABACAAAAAiAAAAZHJzL2Rv&#10;d25yZXYueG1sUEsBAhQAFAAAAAgAh07iQElhv8yOAQAAIgMAAA4AAAAAAAAAAQAgAAAAKAEAAGRy&#10;cy9lMm9Eb2MueG1sUEsFBgAAAAAGAAYAWQEAACgFAAAAAA==&#10;">
              <v:fill on="f" focussize="0,0"/>
              <v:stroke on="f"/>
              <v:imagedata o:title=""/>
              <o:lock v:ext="edit" aspectratio="f"/>
              <v:textbox inset="0mm,0mm,0mm,0mm" style="mso-fit-shape-to-text:t;">
                <w:txbxContent>
                  <w:p>
                    <w:pPr>
                      <w:pStyle w:val="3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20</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NWYxMjg0M2E2M2Y2YWE1M2M2OTEzOGZjMGVmZTMifQ=="/>
  </w:docVars>
  <w:rsids>
    <w:rsidRoot w:val="006F43B4"/>
    <w:rsid w:val="00055381"/>
    <w:rsid w:val="00156890"/>
    <w:rsid w:val="00291F43"/>
    <w:rsid w:val="003846E2"/>
    <w:rsid w:val="003D7B27"/>
    <w:rsid w:val="00502E7E"/>
    <w:rsid w:val="00593588"/>
    <w:rsid w:val="00626965"/>
    <w:rsid w:val="00651A33"/>
    <w:rsid w:val="006F43B4"/>
    <w:rsid w:val="00723053"/>
    <w:rsid w:val="008237B5"/>
    <w:rsid w:val="009D3A41"/>
    <w:rsid w:val="009F2092"/>
    <w:rsid w:val="009F209E"/>
    <w:rsid w:val="00A01903"/>
    <w:rsid w:val="00A26F37"/>
    <w:rsid w:val="00A62B04"/>
    <w:rsid w:val="00A703FF"/>
    <w:rsid w:val="00AB4CB1"/>
    <w:rsid w:val="00AB5656"/>
    <w:rsid w:val="00AE30A8"/>
    <w:rsid w:val="00B4275A"/>
    <w:rsid w:val="00B91373"/>
    <w:rsid w:val="00C31E7B"/>
    <w:rsid w:val="00D304ED"/>
    <w:rsid w:val="00D75C64"/>
    <w:rsid w:val="00E01788"/>
    <w:rsid w:val="00E070AA"/>
    <w:rsid w:val="00E47A66"/>
    <w:rsid w:val="00E80445"/>
    <w:rsid w:val="00EC35A5"/>
    <w:rsid w:val="010E6025"/>
    <w:rsid w:val="012F32FC"/>
    <w:rsid w:val="01587D16"/>
    <w:rsid w:val="01A04759"/>
    <w:rsid w:val="01A836F9"/>
    <w:rsid w:val="023E1725"/>
    <w:rsid w:val="02421D02"/>
    <w:rsid w:val="02D944DD"/>
    <w:rsid w:val="032B1553"/>
    <w:rsid w:val="038C1DF1"/>
    <w:rsid w:val="039F6E44"/>
    <w:rsid w:val="048A0C4C"/>
    <w:rsid w:val="04AA17FE"/>
    <w:rsid w:val="05E32E7C"/>
    <w:rsid w:val="05F54D6D"/>
    <w:rsid w:val="06247E21"/>
    <w:rsid w:val="067362EB"/>
    <w:rsid w:val="068117B6"/>
    <w:rsid w:val="06C26A7A"/>
    <w:rsid w:val="075570AE"/>
    <w:rsid w:val="07E4525D"/>
    <w:rsid w:val="08D60EA5"/>
    <w:rsid w:val="09402008"/>
    <w:rsid w:val="09B315DE"/>
    <w:rsid w:val="09B547AB"/>
    <w:rsid w:val="09EE122C"/>
    <w:rsid w:val="0A1E2AE2"/>
    <w:rsid w:val="0AAA4E9F"/>
    <w:rsid w:val="0AE876EE"/>
    <w:rsid w:val="0B3C33E2"/>
    <w:rsid w:val="0B782843"/>
    <w:rsid w:val="0C7472F1"/>
    <w:rsid w:val="0CAD1C6D"/>
    <w:rsid w:val="0CE4226E"/>
    <w:rsid w:val="0DAE7B73"/>
    <w:rsid w:val="0DD737A7"/>
    <w:rsid w:val="0DFD55A7"/>
    <w:rsid w:val="0E08400E"/>
    <w:rsid w:val="0E156E70"/>
    <w:rsid w:val="0E1D2DC4"/>
    <w:rsid w:val="0E2071F3"/>
    <w:rsid w:val="0E2C2AB5"/>
    <w:rsid w:val="0E4D7DC4"/>
    <w:rsid w:val="0E552A43"/>
    <w:rsid w:val="0E691595"/>
    <w:rsid w:val="0E761E24"/>
    <w:rsid w:val="0E970C12"/>
    <w:rsid w:val="0EC548DF"/>
    <w:rsid w:val="101713C8"/>
    <w:rsid w:val="102713DB"/>
    <w:rsid w:val="10687CF5"/>
    <w:rsid w:val="10796E30"/>
    <w:rsid w:val="10871E8E"/>
    <w:rsid w:val="10B86C1D"/>
    <w:rsid w:val="10D917CA"/>
    <w:rsid w:val="11031B8B"/>
    <w:rsid w:val="110903F6"/>
    <w:rsid w:val="11456B59"/>
    <w:rsid w:val="11871C18"/>
    <w:rsid w:val="11A71763"/>
    <w:rsid w:val="11AE5AAA"/>
    <w:rsid w:val="122430A9"/>
    <w:rsid w:val="12582EBE"/>
    <w:rsid w:val="12957422"/>
    <w:rsid w:val="12C92A41"/>
    <w:rsid w:val="12FD7D69"/>
    <w:rsid w:val="13055F11"/>
    <w:rsid w:val="13D04CD7"/>
    <w:rsid w:val="13DC2CB8"/>
    <w:rsid w:val="14221D35"/>
    <w:rsid w:val="142B1DB1"/>
    <w:rsid w:val="15173084"/>
    <w:rsid w:val="1582435D"/>
    <w:rsid w:val="15C97374"/>
    <w:rsid w:val="16451891"/>
    <w:rsid w:val="16586BE9"/>
    <w:rsid w:val="166F2BF1"/>
    <w:rsid w:val="169459EE"/>
    <w:rsid w:val="171E6442"/>
    <w:rsid w:val="1742267B"/>
    <w:rsid w:val="17874DAF"/>
    <w:rsid w:val="1794192C"/>
    <w:rsid w:val="17A4202A"/>
    <w:rsid w:val="17EA1735"/>
    <w:rsid w:val="17EC7944"/>
    <w:rsid w:val="17FC1602"/>
    <w:rsid w:val="18613BC1"/>
    <w:rsid w:val="186E24D6"/>
    <w:rsid w:val="187E669C"/>
    <w:rsid w:val="18C92B9F"/>
    <w:rsid w:val="18D217BE"/>
    <w:rsid w:val="18F7132C"/>
    <w:rsid w:val="19267A1B"/>
    <w:rsid w:val="198C55A6"/>
    <w:rsid w:val="19CD3D1D"/>
    <w:rsid w:val="1A1838ED"/>
    <w:rsid w:val="1A31098E"/>
    <w:rsid w:val="1A511BE3"/>
    <w:rsid w:val="1A9A558C"/>
    <w:rsid w:val="1AFA71C6"/>
    <w:rsid w:val="1B1E785A"/>
    <w:rsid w:val="1B261919"/>
    <w:rsid w:val="1B2A00D1"/>
    <w:rsid w:val="1B7347F4"/>
    <w:rsid w:val="1BB23779"/>
    <w:rsid w:val="1BE73F47"/>
    <w:rsid w:val="1C024584"/>
    <w:rsid w:val="1C8F4B89"/>
    <w:rsid w:val="1C9A1178"/>
    <w:rsid w:val="1D064DF7"/>
    <w:rsid w:val="1D097D20"/>
    <w:rsid w:val="1D4D39AE"/>
    <w:rsid w:val="1D5C4003"/>
    <w:rsid w:val="1D6F464E"/>
    <w:rsid w:val="1D9E5A0C"/>
    <w:rsid w:val="1D9F5CDA"/>
    <w:rsid w:val="1E095370"/>
    <w:rsid w:val="1E904230"/>
    <w:rsid w:val="1EA56328"/>
    <w:rsid w:val="1FB504FE"/>
    <w:rsid w:val="1FE77AEB"/>
    <w:rsid w:val="1FFA383F"/>
    <w:rsid w:val="20081950"/>
    <w:rsid w:val="20671C22"/>
    <w:rsid w:val="207F541D"/>
    <w:rsid w:val="20851B07"/>
    <w:rsid w:val="20990B2A"/>
    <w:rsid w:val="20AB6596"/>
    <w:rsid w:val="20FB3E37"/>
    <w:rsid w:val="21264E5A"/>
    <w:rsid w:val="22151CAA"/>
    <w:rsid w:val="224E20DB"/>
    <w:rsid w:val="22845047"/>
    <w:rsid w:val="22937891"/>
    <w:rsid w:val="229D5685"/>
    <w:rsid w:val="22D05BCD"/>
    <w:rsid w:val="23532358"/>
    <w:rsid w:val="23703D7C"/>
    <w:rsid w:val="237161ED"/>
    <w:rsid w:val="23B47AA8"/>
    <w:rsid w:val="23E448D4"/>
    <w:rsid w:val="24610AB5"/>
    <w:rsid w:val="24A80447"/>
    <w:rsid w:val="24C5659C"/>
    <w:rsid w:val="250733D2"/>
    <w:rsid w:val="250E39D7"/>
    <w:rsid w:val="268412E8"/>
    <w:rsid w:val="26D81FCD"/>
    <w:rsid w:val="27452191"/>
    <w:rsid w:val="27BC0E8D"/>
    <w:rsid w:val="285B64DE"/>
    <w:rsid w:val="288E613F"/>
    <w:rsid w:val="288F3A27"/>
    <w:rsid w:val="28951D46"/>
    <w:rsid w:val="29721939"/>
    <w:rsid w:val="29E1316E"/>
    <w:rsid w:val="29F80FE7"/>
    <w:rsid w:val="2A492717"/>
    <w:rsid w:val="2A8D1AA1"/>
    <w:rsid w:val="2AC93E57"/>
    <w:rsid w:val="2AE47609"/>
    <w:rsid w:val="2B786E5A"/>
    <w:rsid w:val="2BE7051D"/>
    <w:rsid w:val="2C3B3035"/>
    <w:rsid w:val="2C4B24F8"/>
    <w:rsid w:val="2C8452BD"/>
    <w:rsid w:val="2C882001"/>
    <w:rsid w:val="2CB00876"/>
    <w:rsid w:val="2CD35376"/>
    <w:rsid w:val="2D4168DD"/>
    <w:rsid w:val="2D930E3D"/>
    <w:rsid w:val="2E134FFF"/>
    <w:rsid w:val="2EAC2783"/>
    <w:rsid w:val="2EDA6C9B"/>
    <w:rsid w:val="2F220213"/>
    <w:rsid w:val="2F442A87"/>
    <w:rsid w:val="2F5C70D7"/>
    <w:rsid w:val="2F6C6D41"/>
    <w:rsid w:val="2FE853E7"/>
    <w:rsid w:val="2FF53957"/>
    <w:rsid w:val="2FF85F65"/>
    <w:rsid w:val="303845C1"/>
    <w:rsid w:val="306E2102"/>
    <w:rsid w:val="30731155"/>
    <w:rsid w:val="30F82569"/>
    <w:rsid w:val="31575D41"/>
    <w:rsid w:val="31885CBB"/>
    <w:rsid w:val="318C005A"/>
    <w:rsid w:val="31B372D4"/>
    <w:rsid w:val="31D86DCF"/>
    <w:rsid w:val="31EB11BF"/>
    <w:rsid w:val="32083D0C"/>
    <w:rsid w:val="32150B1E"/>
    <w:rsid w:val="33317857"/>
    <w:rsid w:val="334277A5"/>
    <w:rsid w:val="337563F9"/>
    <w:rsid w:val="337B0400"/>
    <w:rsid w:val="34013B56"/>
    <w:rsid w:val="342019D5"/>
    <w:rsid w:val="346C251E"/>
    <w:rsid w:val="34AB1BAC"/>
    <w:rsid w:val="358D16EC"/>
    <w:rsid w:val="35A767A8"/>
    <w:rsid w:val="35CC1B7F"/>
    <w:rsid w:val="36237854"/>
    <w:rsid w:val="36487787"/>
    <w:rsid w:val="36B32239"/>
    <w:rsid w:val="36B610CD"/>
    <w:rsid w:val="373F3F75"/>
    <w:rsid w:val="37721A4B"/>
    <w:rsid w:val="37723635"/>
    <w:rsid w:val="380F19DC"/>
    <w:rsid w:val="383718CB"/>
    <w:rsid w:val="386A7C63"/>
    <w:rsid w:val="388A6997"/>
    <w:rsid w:val="38912525"/>
    <w:rsid w:val="38AF57A2"/>
    <w:rsid w:val="38CA6196"/>
    <w:rsid w:val="38DC1ADB"/>
    <w:rsid w:val="38F15DFA"/>
    <w:rsid w:val="38FC729A"/>
    <w:rsid w:val="39320FFB"/>
    <w:rsid w:val="39463E38"/>
    <w:rsid w:val="39E9024F"/>
    <w:rsid w:val="39FA4D33"/>
    <w:rsid w:val="3A3711CB"/>
    <w:rsid w:val="3A5C1D13"/>
    <w:rsid w:val="3A5C1E5A"/>
    <w:rsid w:val="3A9B67B2"/>
    <w:rsid w:val="3AD66858"/>
    <w:rsid w:val="3B221787"/>
    <w:rsid w:val="3B34068A"/>
    <w:rsid w:val="3B9610F4"/>
    <w:rsid w:val="3BB71C2D"/>
    <w:rsid w:val="3BD61A36"/>
    <w:rsid w:val="3BF67651"/>
    <w:rsid w:val="3C0318E0"/>
    <w:rsid w:val="3C7D1AA0"/>
    <w:rsid w:val="3CFF4A4C"/>
    <w:rsid w:val="3D152C6B"/>
    <w:rsid w:val="3DB611C5"/>
    <w:rsid w:val="3E741032"/>
    <w:rsid w:val="3E7B06C6"/>
    <w:rsid w:val="3E7F648D"/>
    <w:rsid w:val="3E844C32"/>
    <w:rsid w:val="3EBE4111"/>
    <w:rsid w:val="3EC318D5"/>
    <w:rsid w:val="3F142B57"/>
    <w:rsid w:val="3F1A7FAA"/>
    <w:rsid w:val="3F3E0AB4"/>
    <w:rsid w:val="3F984213"/>
    <w:rsid w:val="3FA952A0"/>
    <w:rsid w:val="3FC93E3E"/>
    <w:rsid w:val="3FCC330C"/>
    <w:rsid w:val="402B776A"/>
    <w:rsid w:val="406B30D4"/>
    <w:rsid w:val="40A30DAA"/>
    <w:rsid w:val="40F46A11"/>
    <w:rsid w:val="41572450"/>
    <w:rsid w:val="41777BB2"/>
    <w:rsid w:val="4186034B"/>
    <w:rsid w:val="418F6974"/>
    <w:rsid w:val="42712E83"/>
    <w:rsid w:val="428E2D29"/>
    <w:rsid w:val="429C7B55"/>
    <w:rsid w:val="43342476"/>
    <w:rsid w:val="433E3A34"/>
    <w:rsid w:val="43621D5E"/>
    <w:rsid w:val="43D3409E"/>
    <w:rsid w:val="43D91C59"/>
    <w:rsid w:val="445617D3"/>
    <w:rsid w:val="447957F2"/>
    <w:rsid w:val="44A86E9A"/>
    <w:rsid w:val="45176E5E"/>
    <w:rsid w:val="45644397"/>
    <w:rsid w:val="45696BDB"/>
    <w:rsid w:val="465B0945"/>
    <w:rsid w:val="46B00671"/>
    <w:rsid w:val="46C925E7"/>
    <w:rsid w:val="46CF30CF"/>
    <w:rsid w:val="46F3537A"/>
    <w:rsid w:val="46FF2A91"/>
    <w:rsid w:val="47112BE0"/>
    <w:rsid w:val="47512873"/>
    <w:rsid w:val="47C2216E"/>
    <w:rsid w:val="47EB3C46"/>
    <w:rsid w:val="480F1ECA"/>
    <w:rsid w:val="48114111"/>
    <w:rsid w:val="48526CD7"/>
    <w:rsid w:val="485F7432"/>
    <w:rsid w:val="486B4F45"/>
    <w:rsid w:val="48841BE5"/>
    <w:rsid w:val="488A3AE1"/>
    <w:rsid w:val="48AA6498"/>
    <w:rsid w:val="48AD19E8"/>
    <w:rsid w:val="48BA7DF9"/>
    <w:rsid w:val="48E51899"/>
    <w:rsid w:val="49956A4F"/>
    <w:rsid w:val="4A4812FE"/>
    <w:rsid w:val="4A730934"/>
    <w:rsid w:val="4B1977A0"/>
    <w:rsid w:val="4B4F18E5"/>
    <w:rsid w:val="4B8E2BB5"/>
    <w:rsid w:val="4BCA492F"/>
    <w:rsid w:val="4BDA7851"/>
    <w:rsid w:val="4BDD0C15"/>
    <w:rsid w:val="4C112A28"/>
    <w:rsid w:val="4C367EE2"/>
    <w:rsid w:val="4C3E0A00"/>
    <w:rsid w:val="4C8F2B04"/>
    <w:rsid w:val="4C9C397D"/>
    <w:rsid w:val="4CA65793"/>
    <w:rsid w:val="4D441C8B"/>
    <w:rsid w:val="4D446E15"/>
    <w:rsid w:val="4D8A139E"/>
    <w:rsid w:val="4DFB59B1"/>
    <w:rsid w:val="4E106724"/>
    <w:rsid w:val="4E5B22DE"/>
    <w:rsid w:val="4E660826"/>
    <w:rsid w:val="4E843E20"/>
    <w:rsid w:val="4EB0159A"/>
    <w:rsid w:val="4F021AA9"/>
    <w:rsid w:val="4F0A5043"/>
    <w:rsid w:val="4F42590E"/>
    <w:rsid w:val="4F94106E"/>
    <w:rsid w:val="4FB870F0"/>
    <w:rsid w:val="4FE00A82"/>
    <w:rsid w:val="5025101F"/>
    <w:rsid w:val="508C5CA4"/>
    <w:rsid w:val="511901B3"/>
    <w:rsid w:val="52146C75"/>
    <w:rsid w:val="523577B2"/>
    <w:rsid w:val="52400BAA"/>
    <w:rsid w:val="52504441"/>
    <w:rsid w:val="52E1705F"/>
    <w:rsid w:val="52EC3EDC"/>
    <w:rsid w:val="52FE0D61"/>
    <w:rsid w:val="53151498"/>
    <w:rsid w:val="5316652D"/>
    <w:rsid w:val="53B134B9"/>
    <w:rsid w:val="53BD4A78"/>
    <w:rsid w:val="53D85335"/>
    <w:rsid w:val="53E125BE"/>
    <w:rsid w:val="541235D8"/>
    <w:rsid w:val="54CA1AED"/>
    <w:rsid w:val="55146BE0"/>
    <w:rsid w:val="55252947"/>
    <w:rsid w:val="5544476F"/>
    <w:rsid w:val="555E1E30"/>
    <w:rsid w:val="55A354FC"/>
    <w:rsid w:val="55BA0F7E"/>
    <w:rsid w:val="563411DE"/>
    <w:rsid w:val="573D0259"/>
    <w:rsid w:val="57874BC1"/>
    <w:rsid w:val="578A33CF"/>
    <w:rsid w:val="57FA6FE9"/>
    <w:rsid w:val="5807448D"/>
    <w:rsid w:val="581255D7"/>
    <w:rsid w:val="582012C9"/>
    <w:rsid w:val="58207AA3"/>
    <w:rsid w:val="582C6E15"/>
    <w:rsid w:val="587648D0"/>
    <w:rsid w:val="58A50EA8"/>
    <w:rsid w:val="58D008AE"/>
    <w:rsid w:val="58D278EC"/>
    <w:rsid w:val="58EA62B6"/>
    <w:rsid w:val="596F60AE"/>
    <w:rsid w:val="59B92E76"/>
    <w:rsid w:val="5A03106A"/>
    <w:rsid w:val="5A4F141A"/>
    <w:rsid w:val="5A9E0341"/>
    <w:rsid w:val="5ACE3B59"/>
    <w:rsid w:val="5B2F1EEB"/>
    <w:rsid w:val="5B302BC9"/>
    <w:rsid w:val="5B745643"/>
    <w:rsid w:val="5C263CAD"/>
    <w:rsid w:val="5C4B2E5B"/>
    <w:rsid w:val="5C8578BA"/>
    <w:rsid w:val="5D027E7E"/>
    <w:rsid w:val="5D2B48B4"/>
    <w:rsid w:val="5D844F05"/>
    <w:rsid w:val="5E70388B"/>
    <w:rsid w:val="5EC178AD"/>
    <w:rsid w:val="5ED83037"/>
    <w:rsid w:val="5F070F9B"/>
    <w:rsid w:val="5F220DF6"/>
    <w:rsid w:val="5F300F59"/>
    <w:rsid w:val="5F356E47"/>
    <w:rsid w:val="5FAE3AB2"/>
    <w:rsid w:val="5FCF5D35"/>
    <w:rsid w:val="60B91507"/>
    <w:rsid w:val="60D33ED8"/>
    <w:rsid w:val="616B0C9C"/>
    <w:rsid w:val="621356A8"/>
    <w:rsid w:val="62215171"/>
    <w:rsid w:val="624B097D"/>
    <w:rsid w:val="62844F25"/>
    <w:rsid w:val="62C06BAA"/>
    <w:rsid w:val="63D6165B"/>
    <w:rsid w:val="64031DD3"/>
    <w:rsid w:val="64084C3D"/>
    <w:rsid w:val="642C6F40"/>
    <w:rsid w:val="645475E2"/>
    <w:rsid w:val="6455010A"/>
    <w:rsid w:val="646D6EAA"/>
    <w:rsid w:val="64C957CC"/>
    <w:rsid w:val="64E91D1B"/>
    <w:rsid w:val="65A83CC5"/>
    <w:rsid w:val="65CC5CF4"/>
    <w:rsid w:val="65E92BE6"/>
    <w:rsid w:val="669354B5"/>
    <w:rsid w:val="66B037DC"/>
    <w:rsid w:val="671125BE"/>
    <w:rsid w:val="6732696D"/>
    <w:rsid w:val="67397F81"/>
    <w:rsid w:val="67451D63"/>
    <w:rsid w:val="678C30B6"/>
    <w:rsid w:val="67E26E3A"/>
    <w:rsid w:val="67E9034C"/>
    <w:rsid w:val="68332B3B"/>
    <w:rsid w:val="683F3018"/>
    <w:rsid w:val="684466E8"/>
    <w:rsid w:val="684568B6"/>
    <w:rsid w:val="685B3667"/>
    <w:rsid w:val="68BD0B09"/>
    <w:rsid w:val="68CD7763"/>
    <w:rsid w:val="68EF79ED"/>
    <w:rsid w:val="68F57855"/>
    <w:rsid w:val="69D07B34"/>
    <w:rsid w:val="69E14465"/>
    <w:rsid w:val="6A226A53"/>
    <w:rsid w:val="6A231718"/>
    <w:rsid w:val="6A310DD3"/>
    <w:rsid w:val="6A4F4329"/>
    <w:rsid w:val="6AAF66D6"/>
    <w:rsid w:val="6AC67BD3"/>
    <w:rsid w:val="6AF12B3E"/>
    <w:rsid w:val="6B264B6E"/>
    <w:rsid w:val="6B916682"/>
    <w:rsid w:val="6BD924EC"/>
    <w:rsid w:val="6C826573"/>
    <w:rsid w:val="6C8919B8"/>
    <w:rsid w:val="6C9D1375"/>
    <w:rsid w:val="6CB92972"/>
    <w:rsid w:val="6CE76051"/>
    <w:rsid w:val="6DCF61FF"/>
    <w:rsid w:val="6E0F6CF0"/>
    <w:rsid w:val="6E3755C1"/>
    <w:rsid w:val="6E640DD3"/>
    <w:rsid w:val="6E64260C"/>
    <w:rsid w:val="6E914841"/>
    <w:rsid w:val="6EB1052D"/>
    <w:rsid w:val="6EC317CE"/>
    <w:rsid w:val="6F4E6508"/>
    <w:rsid w:val="6F4F2037"/>
    <w:rsid w:val="6FA608C2"/>
    <w:rsid w:val="6FFF0469"/>
    <w:rsid w:val="701F7E35"/>
    <w:rsid w:val="704C3A50"/>
    <w:rsid w:val="70965651"/>
    <w:rsid w:val="70A14AF9"/>
    <w:rsid w:val="70A560EF"/>
    <w:rsid w:val="70AB4782"/>
    <w:rsid w:val="71576811"/>
    <w:rsid w:val="7165235D"/>
    <w:rsid w:val="716F460A"/>
    <w:rsid w:val="71BD016F"/>
    <w:rsid w:val="71CF0BED"/>
    <w:rsid w:val="71D66846"/>
    <w:rsid w:val="71E20C00"/>
    <w:rsid w:val="71E54E4B"/>
    <w:rsid w:val="723C3332"/>
    <w:rsid w:val="7252271D"/>
    <w:rsid w:val="726873F0"/>
    <w:rsid w:val="727B46BA"/>
    <w:rsid w:val="729D59B3"/>
    <w:rsid w:val="7313238C"/>
    <w:rsid w:val="731759FD"/>
    <w:rsid w:val="73234316"/>
    <w:rsid w:val="734164C7"/>
    <w:rsid w:val="735A62E0"/>
    <w:rsid w:val="74611F35"/>
    <w:rsid w:val="74645702"/>
    <w:rsid w:val="746E7275"/>
    <w:rsid w:val="74D80B53"/>
    <w:rsid w:val="751A7E63"/>
    <w:rsid w:val="75400B60"/>
    <w:rsid w:val="754A20F0"/>
    <w:rsid w:val="7558335C"/>
    <w:rsid w:val="756562E8"/>
    <w:rsid w:val="76406DC8"/>
    <w:rsid w:val="76AC6A44"/>
    <w:rsid w:val="76B040EE"/>
    <w:rsid w:val="76DB3663"/>
    <w:rsid w:val="778B6418"/>
    <w:rsid w:val="779A0D22"/>
    <w:rsid w:val="7872306D"/>
    <w:rsid w:val="78AB2481"/>
    <w:rsid w:val="78C863CB"/>
    <w:rsid w:val="792B6181"/>
    <w:rsid w:val="79F43DA8"/>
    <w:rsid w:val="7A3B2D26"/>
    <w:rsid w:val="7A404208"/>
    <w:rsid w:val="7A436452"/>
    <w:rsid w:val="7A6A3136"/>
    <w:rsid w:val="7A9439F5"/>
    <w:rsid w:val="7AFD1570"/>
    <w:rsid w:val="7B134572"/>
    <w:rsid w:val="7B4B064C"/>
    <w:rsid w:val="7B6E62FB"/>
    <w:rsid w:val="7C187EC4"/>
    <w:rsid w:val="7C3507CF"/>
    <w:rsid w:val="7CDB5FF9"/>
    <w:rsid w:val="7CEC0651"/>
    <w:rsid w:val="7D4A7AE5"/>
    <w:rsid w:val="7D586692"/>
    <w:rsid w:val="7D810E5F"/>
    <w:rsid w:val="7D84768B"/>
    <w:rsid w:val="7DD86538"/>
    <w:rsid w:val="7E0D600E"/>
    <w:rsid w:val="7E2C0DEA"/>
    <w:rsid w:val="7E2D0B3F"/>
    <w:rsid w:val="7E341C7F"/>
    <w:rsid w:val="7E8B6D03"/>
    <w:rsid w:val="7FC25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5">
    <w:name w:val="Normal Indent"/>
    <w:basedOn w:val="1"/>
    <w:next w:val="1"/>
    <w:unhideWhenUsed/>
    <w:qFormat/>
    <w:uiPriority w:val="0"/>
    <w:pPr>
      <w:ind w:firstLine="420" w:firstLineChars="200"/>
    </w:pPr>
  </w:style>
  <w:style w:type="paragraph" w:styleId="6">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kern w:val="0"/>
      <w:sz w:val="24"/>
    </w:rPr>
  </w:style>
  <w:style w:type="character" w:styleId="12">
    <w:name w:val="Strong"/>
    <w:basedOn w:val="11"/>
    <w:qFormat/>
    <w:uiPriority w:val="22"/>
    <w:rPr>
      <w:b/>
    </w:rPr>
  </w:style>
  <w:style w:type="character" w:styleId="13">
    <w:name w:val="page number"/>
    <w:basedOn w:val="11"/>
    <w:qFormat/>
    <w:uiPriority w:val="0"/>
  </w:style>
  <w:style w:type="character" w:styleId="14">
    <w:name w:val="FollowedHyperlink"/>
    <w:basedOn w:val="11"/>
    <w:semiHidden/>
    <w:unhideWhenUsed/>
    <w:qFormat/>
    <w:uiPriority w:val="99"/>
    <w:rPr>
      <w:color w:val="337AB7"/>
      <w:u w:val="none"/>
    </w:rPr>
  </w:style>
  <w:style w:type="character" w:styleId="15">
    <w:name w:val="HTML Definition"/>
    <w:basedOn w:val="11"/>
    <w:semiHidden/>
    <w:unhideWhenUsed/>
    <w:qFormat/>
    <w:uiPriority w:val="99"/>
    <w:rPr>
      <w:i/>
    </w:rPr>
  </w:style>
  <w:style w:type="character" w:styleId="16">
    <w:name w:val="Hyperlink"/>
    <w:basedOn w:val="11"/>
    <w:semiHidden/>
    <w:unhideWhenUsed/>
    <w:qFormat/>
    <w:uiPriority w:val="99"/>
    <w:rPr>
      <w:color w:val="337AB7"/>
      <w:u w:val="none"/>
    </w:rPr>
  </w:style>
  <w:style w:type="character" w:styleId="17">
    <w:name w:val="HTML Code"/>
    <w:basedOn w:val="11"/>
    <w:semiHidden/>
    <w:unhideWhenUsed/>
    <w:qFormat/>
    <w:uiPriority w:val="99"/>
    <w:rPr>
      <w:rFonts w:ascii="Consolas" w:hAnsi="Consolas" w:eastAsia="Consolas" w:cs="Consolas"/>
      <w:color w:val="C7254E"/>
      <w:sz w:val="21"/>
      <w:szCs w:val="21"/>
      <w:shd w:val="clear" w:fill="F9F2F4"/>
    </w:rPr>
  </w:style>
  <w:style w:type="character" w:styleId="18">
    <w:name w:val="HTML Keyboard"/>
    <w:basedOn w:val="11"/>
    <w:semiHidden/>
    <w:unhideWhenUsed/>
    <w:qFormat/>
    <w:uiPriority w:val="99"/>
    <w:rPr>
      <w:rFonts w:hint="default" w:ascii="Consolas" w:hAnsi="Consolas" w:eastAsia="Consolas" w:cs="Consolas"/>
      <w:color w:val="FFFFFF"/>
      <w:sz w:val="21"/>
      <w:szCs w:val="21"/>
      <w:shd w:val="clear" w:fill="333333"/>
    </w:rPr>
  </w:style>
  <w:style w:type="character" w:styleId="19">
    <w:name w:val="HTML Sample"/>
    <w:basedOn w:val="11"/>
    <w:semiHidden/>
    <w:unhideWhenUsed/>
    <w:qFormat/>
    <w:uiPriority w:val="99"/>
    <w:rPr>
      <w:rFonts w:hint="default" w:ascii="Consolas" w:hAnsi="Consolas" w:eastAsia="Consolas" w:cs="Consolas"/>
      <w:sz w:val="21"/>
      <w:szCs w:val="21"/>
    </w:rPr>
  </w:style>
  <w:style w:type="paragraph" w:customStyle="1" w:styleId="20">
    <w:name w:val="批注文字 New New"/>
    <w:basedOn w:val="1"/>
    <w:qFormat/>
    <w:uiPriority w:val="0"/>
    <w:pPr>
      <w:jc w:val="left"/>
    </w:pPr>
    <w:rPr>
      <w:szCs w:val="20"/>
    </w:rPr>
  </w:style>
  <w:style w:type="character" w:customStyle="1" w:styleId="21">
    <w:name w:val="页眉 Char"/>
    <w:basedOn w:val="11"/>
    <w:link w:val="8"/>
    <w:semiHidden/>
    <w:qFormat/>
    <w:uiPriority w:val="99"/>
    <w:rPr>
      <w:rFonts w:ascii="Times New Roman" w:hAnsi="Times New Roman" w:eastAsia="宋体" w:cs="Times New Roman"/>
      <w:sz w:val="18"/>
      <w:szCs w:val="18"/>
    </w:rPr>
  </w:style>
  <w:style w:type="character" w:customStyle="1" w:styleId="22">
    <w:name w:val="页脚 Char"/>
    <w:basedOn w:val="11"/>
    <w:link w:val="7"/>
    <w:qFormat/>
    <w:uiPriority w:val="99"/>
    <w:rPr>
      <w:rFonts w:ascii="Times New Roman" w:hAnsi="Times New Roman" w:eastAsia="宋体" w:cs="Times New Roman"/>
      <w:sz w:val="18"/>
      <w:szCs w:val="18"/>
    </w:rPr>
  </w:style>
  <w:style w:type="paragraph" w:customStyle="1" w:styleId="23">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actspan"/>
    <w:basedOn w:val="11"/>
    <w:qFormat/>
    <w:uiPriority w:val="0"/>
  </w:style>
  <w:style w:type="character" w:customStyle="1" w:styleId="26">
    <w:name w:val="layui-layer-tabnow"/>
    <w:basedOn w:val="11"/>
    <w:qFormat/>
    <w:uiPriority w:val="0"/>
    <w:rPr>
      <w:bdr w:val="single" w:color="CCCCCC" w:sz="6" w:space="0"/>
      <w:shd w:val="clear" w:fill="FFFFFF"/>
    </w:rPr>
  </w:style>
  <w:style w:type="character" w:customStyle="1" w:styleId="27">
    <w:name w:val="first-child"/>
    <w:basedOn w:val="11"/>
    <w:qFormat/>
    <w:uiPriority w:val="0"/>
  </w:style>
  <w:style w:type="paragraph" w:customStyle="1" w:styleId="28">
    <w:name w:val="我的正文"/>
    <w:basedOn w:val="29"/>
    <w:qFormat/>
    <w:uiPriority w:val="0"/>
    <w:pPr>
      <w:spacing w:line="560" w:lineRule="exact"/>
      <w:ind w:firstLine="200" w:firstLineChars="200"/>
    </w:pPr>
    <w:rPr>
      <w:rFonts w:eastAsia="仿宋_GB2312"/>
      <w:sz w:val="32"/>
      <w:szCs w:val="32"/>
    </w:rPr>
  </w:style>
  <w:style w:type="paragraph" w:customStyle="1" w:styleId="29">
    <w:name w:val="正文 New New"/>
    <w:qFormat/>
    <w:uiPriority w:val="0"/>
    <w:pPr>
      <w:widowControl w:val="0"/>
      <w:jc w:val="both"/>
    </w:pPr>
    <w:rPr>
      <w:rFonts w:ascii="Calibri" w:hAnsi="Calibri" w:eastAsia="宋体" w:cs="Times New Roman"/>
      <w:kern w:val="2"/>
      <w:sz w:val="21"/>
      <w:lang w:val="en-US" w:eastAsia="zh-CN" w:bidi="ar-SA"/>
    </w:rPr>
  </w:style>
  <w:style w:type="character" w:customStyle="1" w:styleId="30">
    <w:name w:val="actspan2"/>
    <w:basedOn w:val="11"/>
    <w:qFormat/>
    <w:uiPriority w:val="0"/>
  </w:style>
  <w:style w:type="paragraph" w:customStyle="1" w:styleId="31">
    <w:name w:val="p0"/>
    <w:basedOn w:val="1"/>
    <w:qFormat/>
    <w:uiPriority w:val="0"/>
    <w:pPr>
      <w:widowControl/>
    </w:pPr>
    <w:rPr>
      <w:kern w:val="0"/>
      <w:szCs w:val="21"/>
    </w:rPr>
  </w:style>
  <w:style w:type="paragraph" w:customStyle="1" w:styleId="32">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33">
    <w:name w:val="Table caption|1"/>
    <w:basedOn w:val="1"/>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customStyle="1" w:styleId="34">
    <w:name w:val="Other|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35">
    <w:name w:val="Other|2"/>
    <w:basedOn w:val="1"/>
    <w:qFormat/>
    <w:uiPriority w:val="0"/>
    <w:pPr>
      <w:widowControl w:val="0"/>
      <w:shd w:val="clear" w:color="auto" w:fill="auto"/>
      <w:spacing w:before="160" w:line="230" w:lineRule="exact"/>
      <w:jc w:val="center"/>
    </w:pPr>
    <w:rPr>
      <w:rFonts w:ascii="宋体" w:hAnsi="宋体" w:eastAsia="宋体" w:cs="宋体"/>
      <w:sz w:val="22"/>
      <w:szCs w:val="22"/>
      <w:u w:val="none"/>
      <w:shd w:val="clear" w:color="auto" w:fill="auto"/>
      <w:lang w:val="zh-TW" w:eastAsia="zh-TW" w:bidi="zh-TW"/>
    </w:rPr>
  </w:style>
  <w:style w:type="paragraph" w:customStyle="1" w:styleId="36">
    <w:name w:val="Header or footer|1"/>
    <w:basedOn w:val="1"/>
    <w:qFormat/>
    <w:uiPriority w:val="0"/>
    <w:pPr>
      <w:widowControl w:val="0"/>
      <w:shd w:val="clear" w:color="auto" w:fill="auto"/>
    </w:pPr>
    <w:rPr>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3481</Words>
  <Characters>3824</Characters>
  <Lines>27</Lines>
  <Paragraphs>7</Paragraphs>
  <TotalTime>9</TotalTime>
  <ScaleCrop>false</ScaleCrop>
  <LinksUpToDate>false</LinksUpToDate>
  <CharactersWithSpaces>3888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2022-03-09T06:49:00Z</dcterms:created>
  <dc:creator>张小丽</dc:creator>
  <cp:lastModifiedBy>欧阳海棠</cp:lastModifiedBy>
  <cp:lastPrinted>2022-09-08T08:24:00Z</cp:lastPrinted>
  <dcterms:modified xsi:type="dcterms:W3CDTF">2022-11-16T11:46:30Z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7A1C00D4DC894610A06B023E0737C3EE</vt:lpwstr>
  </property>
</Properties>
</file>